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-142"/>
        </w:tabs>
        <w:spacing w:after="0" w:line="240" w:lineRule="auto"/>
        <w:ind w:right="-2" w:firstLine="56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-142"/>
        </w:tabs>
        <w:spacing w:after="0" w:line="240" w:lineRule="auto"/>
        <w:ind w:right="-2" w:firstLine="56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56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56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7088"/>
        </w:tabs>
        <w:spacing w:after="0" w:line="240" w:lineRule="auto"/>
        <w:ind w:firstLine="567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11.03.2025 № 119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предметом которого является соблюдение </w:t>
      </w:r>
      <w:hyperlink r:id="rId9" w:tooltip="consultantplus://offline/ref=803480765893F91648F41CE13BB619E96E4C8F3C68CDF17CD0BD1A5D036F5ADDEEF7F7EB1C28A26E79133980AF89CC7F2A92893AA47BFF2D2D0E7A93RBl2G" w:history="1">
        <w:r>
          <w:rPr>
            <w:rFonts w:ascii="Times New Roman" w:hAnsi="Times New Roman" w:cs="Times New Roman"/>
            <w:sz w:val="28"/>
            <w:szCs w:val="28"/>
          </w:rPr>
          <w:t xml:space="preserve"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администрацией Железнодорожного района города Ба</w:t>
      </w:r>
      <w:r>
        <w:rPr>
          <w:rFonts w:ascii="Times New Roman" w:hAnsi="Times New Roman" w:cs="Times New Roman"/>
          <w:sz w:val="28"/>
          <w:szCs w:val="28"/>
        </w:rPr>
        <w:t xml:space="preserve">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>
        <w:rPr>
          <w:rFonts w:ascii="Times New Roman" w:hAnsi="Times New Roman" w:cs="Times New Roman"/>
          <w:sz w:val="28"/>
          <w:szCs w:val="28"/>
        </w:rPr>
        <w:t xml:space="preserve">31.07.2020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№248-ФЗ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городского округа - города Барнаула Алтайского края, утвержденного решением 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30.11.2021 №</w:t>
      </w:r>
      <w:r>
        <w:rPr>
          <w:rFonts w:ascii="Times New Roman" w:hAnsi="Times New Roman" w:cs="Times New Roman"/>
          <w:sz w:val="28"/>
          <w:szCs w:val="28"/>
        </w:rPr>
        <w:t xml:space="preserve">798.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>
        <w:rPr>
          <w:rFonts w:ascii="Times New Roman" w:hAnsi="Times New Roman" w:cs="Times New Roman"/>
          <w:sz w:val="28"/>
          <w:szCs w:val="28"/>
        </w:rPr>
        <w:t xml:space="preserve">одской Думы от 29.10.2021 №775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в соответствии с Положением осуществляет муниципальный контроль в сфере благоустройства, предметом которого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Соблюдение контролируемыми лицами Правил благоустройства территории городского округа - города Барнаула Алтайского края, утвержденных решением 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19.03.2021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645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Правила благоустройства)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иных муниципальных пра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города Барнаула в области благоустройства, принятых в соответствии с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действия (бездействие) контролируемых лиц, в рамках которых должны соблюдаться с</w:t>
      </w:r>
      <w:r>
        <w:rPr>
          <w:rFonts w:ascii="Times New Roman" w:hAnsi="Times New Roman" w:cs="Times New Roman"/>
          <w:sz w:val="28"/>
          <w:szCs w:val="28"/>
        </w:rPr>
        <w:t xml:space="preserve">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</w:t>
      </w:r>
      <w:r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требования). Перечень муниципальных нормативных правовых актов города Барнаула, содержащих обязательные требования, оценка соблюдения которых является предметом контроля, ежегодно утверждается администрациями районов города Барнаула;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контролируемых лиц, в том числе работы и услуги, к которым предъявляются обязательные требования;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</w:t>
      </w:r>
      <w:r>
        <w:rPr>
          <w:rFonts w:ascii="Times New Roman" w:hAnsi="Times New Roman" w:cs="Times New Roman"/>
          <w:sz w:val="28"/>
          <w:szCs w:val="28"/>
        </w:rPr>
        <w:t xml:space="preserve">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</w:t>
      </w:r>
      <w:r>
        <w:rPr>
          <w:rFonts w:ascii="Times New Roman" w:hAnsi="Times New Roman" w:cs="Times New Roman"/>
          <w:sz w:val="28"/>
          <w:szCs w:val="28"/>
        </w:rPr>
        <w:t xml:space="preserve">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осуществляется посредством организации и проведения контрольных мероприятий: инспекционного визита; рейдового</w:t>
      </w:r>
      <w:r>
        <w:rPr>
          <w:rFonts w:ascii="Times New Roman" w:hAnsi="Times New Roman" w:cs="Times New Roman"/>
          <w:sz w:val="28"/>
          <w:szCs w:val="28"/>
        </w:rPr>
        <w:t xml:space="preserve"> осмотра; документарной проверки</w:t>
      </w:r>
      <w:r>
        <w:rPr>
          <w:rFonts w:ascii="Times New Roman" w:hAnsi="Times New Roman" w:cs="Times New Roman"/>
          <w:sz w:val="28"/>
          <w:szCs w:val="28"/>
        </w:rPr>
        <w:t xml:space="preserve">; выездной проверки; наблюдения за соблюдением обязательных требований; выездного обследования.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сфере благоустройства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мероприятия в сфере благоустройства не проводились в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установлением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10.03.2022 №336 </w:t>
      </w:r>
      <w:r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на проведение контрольных мероприятий, проверок при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в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 в связи с отсут</w:t>
      </w:r>
      <w:r>
        <w:rPr>
          <w:rFonts w:ascii="Times New Roman" w:hAnsi="Times New Roman" w:cs="Times New Roman"/>
          <w:sz w:val="28"/>
          <w:szCs w:val="28"/>
        </w:rPr>
        <w:t xml:space="preserve">ствием оснований, предусмотренных частью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пунктами 1, 3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6 части 1, частью 3 статьи 57, частью 12 статьи 66 Федерального закона от 31.07.2020 №248-ФЗ.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администрацией района проведено </w:t>
      </w:r>
      <w:r>
        <w:rPr>
          <w:rFonts w:ascii="Times New Roman" w:hAnsi="Times New Roman" w:cs="Times New Roman"/>
          <w:sz w:val="28"/>
          <w:szCs w:val="28"/>
        </w:rPr>
        <w:t xml:space="preserve">202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мероприятия без взаимодействия с контролируемым лицом (далее – контрольное мероприятие) в рамках муниципального контроля в сфере благоустройства, </w:t>
      </w:r>
      <w:r>
        <w:rPr>
          <w:rFonts w:ascii="Times New Roman" w:hAnsi="Times New Roman" w:cs="Times New Roman"/>
          <w:sz w:val="28"/>
          <w:szCs w:val="28"/>
        </w:rPr>
        <w:t xml:space="preserve">выявлено 181 нарушение, выдано 183 рекомендации, устранено 132 нарушения.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визиты в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осуществлялись.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администрацией района </w:t>
      </w:r>
      <w:r>
        <w:rPr>
          <w:rFonts w:ascii="Times New Roman" w:hAnsi="Times New Roman"/>
          <w:sz w:val="28"/>
          <w:szCs w:val="28"/>
        </w:rPr>
        <w:t xml:space="preserve">подготовлен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и направлен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 суд </w:t>
      </w:r>
      <w:r>
        <w:rPr>
          <w:rFonts w:ascii="Times New Roman" w:hAnsi="Times New Roman"/>
          <w:sz w:val="28"/>
          <w:szCs w:val="28"/>
        </w:rPr>
        <w:t xml:space="preserve">51 исковое заявление о понуждении к устранению нарушений, выявленных по результатам муниципального контроля в сфере благоустройства.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обобщения правоприменительной практики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выявлены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наиболее часто нарушаемые контролируемыми лицами нормативные правовые акты: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7, </w:t>
      </w:r>
      <w:r>
        <w:rPr>
          <w:rFonts w:ascii="Times New Roman" w:hAnsi="Times New Roman"/>
          <w:sz w:val="28"/>
          <w:szCs w:val="28"/>
        </w:rPr>
        <w:t xml:space="preserve">16, </w:t>
      </w:r>
      <w:r>
        <w:rPr>
          <w:rFonts w:ascii="Times New Roman" w:hAnsi="Times New Roman"/>
          <w:sz w:val="28"/>
          <w:szCs w:val="28"/>
        </w:rPr>
        <w:t xml:space="preserve">17, </w:t>
      </w:r>
      <w:r>
        <w:rPr>
          <w:rFonts w:ascii="Times New Roman" w:hAnsi="Times New Roman"/>
          <w:sz w:val="28"/>
          <w:szCs w:val="28"/>
        </w:rPr>
        <w:t xml:space="preserve">44, </w:t>
      </w:r>
      <w:r>
        <w:rPr>
          <w:rFonts w:ascii="Times New Roman" w:hAnsi="Times New Roman"/>
          <w:sz w:val="28"/>
          <w:szCs w:val="28"/>
        </w:rPr>
        <w:t xml:space="preserve">65</w:t>
      </w:r>
      <w:r>
        <w:rPr>
          <w:rFonts w:ascii="Times New Roman" w:hAnsi="Times New Roman"/>
          <w:sz w:val="28"/>
          <w:szCs w:val="28"/>
        </w:rPr>
        <w:t xml:space="preserve">, 67, 72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утвержденных решением Барнаульской городской Думы от 19.03.2021 №645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пункты 2.1, 2.2, 2.3, 2.4, 2.5 Порядка размещения и содержания информационных конструкций на территории городского округа – города Барнаула Алтайского края, утвержденного постановлением администрации города Барнаула от 17.11.2017 №2305.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в сфере благоустройства показал, что контролирующими органами администрации района в течение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осуществлялась п</w:t>
      </w:r>
      <w:r>
        <w:rPr>
          <w:rFonts w:ascii="Times New Roman" w:hAnsi="Times New Roman" w:cs="Times New Roman"/>
          <w:sz w:val="28"/>
          <w:szCs w:val="28"/>
        </w:rPr>
        <w:t xml:space="preserve">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</w:t>
      </w:r>
      <w:r>
        <w:rPr>
          <w:rFonts w:ascii="Times New Roman" w:hAnsi="Times New Roman" w:cs="Times New Roman"/>
          <w:sz w:val="28"/>
          <w:szCs w:val="28"/>
        </w:rPr>
        <w:t xml:space="preserve">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нарушение правил благоустройства, посредством размещения публикаций в рубрике «Муниципальный контроль» на странице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странице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№248-ФЗ, и программа профилактики рисков причинения вреда (ущерба) охраняемым законом ценностям на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отделом обеспечено юридическое сопровождение работы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подготовке проекта плана проведения контрольных мероприятий на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год, который в установленный законом срок размещен в ФГИС «Единый реестр контрольных (надзорных) мероприятий». </w:t>
      </w:r>
      <w:r>
        <w:rPr>
          <w:rFonts w:ascii="Times New Roman" w:hAnsi="Times New Roman" w:cs="Times New Roman"/>
          <w:sz w:val="28"/>
          <w:szCs w:val="28"/>
        </w:rPr>
        <w:t xml:space="preserve">В проект плана включены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 Прокуратурой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30.10.2024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включенные в проект Плана контрольные мероприятия исключены без предоставления администрации района возможности исправления выявленных замечаний.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 следующие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района от 28.02.2022 №103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района от 01.03.2022 №106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в сфере благоустройства на территории Железнодорожного района города Барнаула, муниципального контроля на автомобильном транспорте, городском наземном электрическом транспорте и в дорожном хозяйстве на территории Железнодорожного района города Барнаула».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района от 30.10.2023 №629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«Об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в сфере благоустройства, муниципального контроля на автомобильном транспорте, городском наземном эл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ектрическом транспорте и в дорожном хозяйстве на территории Железнодорожного района города Барнаула» определены ответственные лица за формирование планов проведения плановых контрольных (надзорных) мероприятий, за передачу сведений в информационные системы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контрольных (надзорных) мероприятий», за соблюдением порядка и сроков их предоставления.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Lucida Sans Unicode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сфере благоустройства, внесены в должностные инструкции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развитию предпринимательства и потребительскому рынку, управления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управления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комитета по </w:t>
      </w:r>
      <w:r>
        <w:rPr>
          <w:rFonts w:ascii="Times New Roman" w:hAnsi="Times New Roman" w:cs="Times New Roman"/>
          <w:sz w:val="28"/>
          <w:szCs w:val="28"/>
        </w:rPr>
        <w:t xml:space="preserve">делам молодежи, культуре,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  <w:r>
        <w:rPr>
          <w:rFonts w:ascii="Times New Roman" w:hAnsi="Times New Roman" w:eastAsia="Lucida Sans Unicode" w:cs="Times New Roman"/>
          <w:sz w:val="28"/>
          <w:szCs w:val="28"/>
          <w:lang w:eastAsia="ar-SA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_Hlk81468340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Железнодорожного района </w:t>
      </w:r>
      <w:r>
        <w:rPr>
          <w:rFonts w:ascii="Times New Roman" w:hAnsi="Times New Roman"/>
          <w:sz w:val="28"/>
          <w:szCs w:val="28"/>
        </w:rPr>
        <w:t xml:space="preserve">от 06.12.2024 №679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</w:t>
      </w:r>
      <w:r>
        <w:rPr>
          <w:rFonts w:ascii="Times New Roman" w:hAnsi="Times New Roman" w:cs="Times New Roman"/>
          <w:sz w:val="28"/>
          <w:szCs w:val="28"/>
        </w:rPr>
        <w:t xml:space="preserve">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Железнодорожного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pBdr/>
        <w:tabs>
          <w:tab w:val="left" w:leader="none" w:pos="1134"/>
        </w:tabs>
        <w:spacing/>
        <w:ind w:firstLine="709"/>
        <w:contextualSpacing w:val="true"/>
        <w:jc w:val="both"/>
        <w:rPr/>
      </w:pPr>
      <w:r>
        <w:t xml:space="preserve">В 2025 году планируется продолжить работу по проведению профилактических мероприятий.</w:t>
      </w:r>
      <w:r/>
    </w:p>
    <w:p>
      <w:pPr>
        <w:pStyle w:val="712"/>
        <w:pBdr/>
        <w:tabs>
          <w:tab w:val="left" w:leader="none" w:pos="1134"/>
        </w:tabs>
        <w:spacing/>
        <w:ind w:firstLine="709"/>
        <w:contextualSpacing w:val="true"/>
        <w:jc w:val="both"/>
        <w:rPr/>
      </w:pPr>
      <w:r>
        <w:t xml:space="preserve">По итогам анализа нормативных правовых актов, содержащих обязательные требования, проведенного </w:t>
      </w:r>
      <w:r>
        <w:t xml:space="preserve">администрацией района</w:t>
      </w:r>
      <w:r>
        <w:t xml:space="preserve">, предложения об актуализации обязательных требований отсутствуют.</w:t>
      </w:r>
      <w:r/>
    </w:p>
    <w:p>
      <w:pPr>
        <w:pStyle w:val="712"/>
        <w:pBdr/>
        <w:tabs>
          <w:tab w:val="left" w:leader="none" w:pos="1134"/>
        </w:tabs>
        <w:spacing/>
        <w:ind w:firstLine="709"/>
        <w:contextualSpacing w:val="true"/>
        <w:jc w:val="both"/>
        <w:rPr/>
      </w:pPr>
      <w:r>
        <w:t xml:space="preserve"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  <w:r>
        <w:t xml:space="preserve"> </w:t>
      </w:r>
      <w:r/>
    </w:p>
    <w:sectPr>
      <w:headerReference w:type="default" r:id="rId8"/>
      <w:footnotePr/>
      <w:endnotePr/>
      <w:type w:val="nextPage"/>
      <w:pgSz w:h="16838" w:orient="portrait" w:w="11905"/>
      <w:pgMar w:top="1134" w:right="851" w:bottom="1134" w:left="1985" w:header="0" w:footer="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88298088"/>
      <w:docPartObj>
        <w:docPartGallery w:val="Page Numbers (Top of Page)"/>
        <w:docPartUnique w:val="true"/>
      </w:docPartObj>
      <w:rPr/>
    </w:sdtPr>
    <w:sdtContent>
      <w:p>
        <w:pPr>
          <w:pStyle w:val="703"/>
          <w:pBdr/>
          <w:spacing/>
          <w:ind/>
          <w:jc w:val="right"/>
          <w:rPr/>
        </w:pPr>
        <w:r/>
        <w:r/>
      </w:p>
      <w:p>
        <w:pPr>
          <w:pStyle w:val="703"/>
          <w:pBdr/>
          <w:spacing/>
          <w:ind/>
          <w:jc w:val="right"/>
          <w:rPr/>
        </w:pPr>
        <w:r/>
        <w:r/>
      </w:p>
      <w:p>
        <w:pPr>
          <w:pStyle w:val="703"/>
          <w:pBdr/>
          <w:spacing/>
          <w:ind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5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03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97"/>
    <w:next w:val="69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7"/>
    <w:next w:val="69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7"/>
    <w:next w:val="69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7"/>
    <w:next w:val="69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7"/>
    <w:next w:val="69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7"/>
    <w:next w:val="6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7"/>
    <w:next w:val="6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7"/>
    <w:next w:val="6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9"/>
    <w:link w:val="6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7"/>
    <w:next w:val="69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7"/>
    <w:next w:val="69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7"/>
    <w:next w:val="6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7"/>
    <w:next w:val="6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9"/>
    <w:link w:val="703"/>
    <w:uiPriority w:val="99"/>
    <w:pPr>
      <w:pBdr/>
      <w:spacing/>
      <w:ind/>
    </w:pPr>
  </w:style>
  <w:style w:type="character" w:styleId="178">
    <w:name w:val="Footer Char"/>
    <w:basedOn w:val="699"/>
    <w:link w:val="705"/>
    <w:uiPriority w:val="99"/>
    <w:pPr>
      <w:pBdr/>
      <w:spacing/>
      <w:ind/>
    </w:pPr>
  </w:style>
  <w:style w:type="paragraph" w:styleId="179">
    <w:name w:val="Caption"/>
    <w:basedOn w:val="697"/>
    <w:next w:val="6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9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7"/>
    <w:next w:val="697"/>
    <w:uiPriority w:val="99"/>
    <w:unhideWhenUsed/>
    <w:pPr>
      <w:pBdr/>
      <w:spacing w:after="0" w:afterAutospacing="0"/>
      <w:ind/>
    </w:pPr>
  </w:style>
  <w:style w:type="paragraph" w:styleId="697" w:default="1">
    <w:name w:val="Normal"/>
    <w:qFormat/>
    <w:pPr>
      <w:pBdr/>
      <w:spacing/>
      <w:ind/>
    </w:pPr>
  </w:style>
  <w:style w:type="paragraph" w:styleId="698">
    <w:name w:val="Heading 1"/>
    <w:basedOn w:val="697"/>
    <w:next w:val="697"/>
    <w:link w:val="711"/>
    <w:qFormat/>
    <w:pPr>
      <w:keepNext w:val="true"/>
      <w:pBdr/>
      <w:spacing w:after="0" w:line="240" w:lineRule="auto"/>
      <w:ind w:firstLine="72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699" w:default="1">
    <w:name w:val="Default Paragraph Font"/>
    <w:uiPriority w:val="1"/>
    <w:semiHidden/>
    <w:unhideWhenUsed/>
    <w:pPr>
      <w:pBdr/>
      <w:spacing/>
      <w:ind/>
    </w:pPr>
  </w:style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1" w:default="1">
    <w:name w:val="No List"/>
    <w:uiPriority w:val="99"/>
    <w:semiHidden/>
    <w:unhideWhenUsed/>
    <w:pPr>
      <w:pBdr/>
      <w:spacing/>
      <w:ind/>
    </w:pPr>
  </w:style>
  <w:style w:type="paragraph" w:styleId="702">
    <w:name w:val="List Paragraph"/>
    <w:basedOn w:val="697"/>
    <w:uiPriority w:val="34"/>
    <w:qFormat/>
    <w:pPr>
      <w:pBdr/>
      <w:spacing/>
      <w:ind w:left="720"/>
      <w:contextualSpacing w:val="true"/>
    </w:pPr>
  </w:style>
  <w:style w:type="paragraph" w:styleId="703">
    <w:name w:val="Header"/>
    <w:basedOn w:val="697"/>
    <w:link w:val="70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4" w:customStyle="1">
    <w:name w:val="Верхний колонтитул Знак"/>
    <w:basedOn w:val="699"/>
    <w:link w:val="703"/>
    <w:uiPriority w:val="99"/>
    <w:pPr>
      <w:pBdr/>
      <w:spacing/>
      <w:ind/>
    </w:pPr>
  </w:style>
  <w:style w:type="paragraph" w:styleId="705">
    <w:name w:val="Footer"/>
    <w:basedOn w:val="697"/>
    <w:link w:val="70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6" w:customStyle="1">
    <w:name w:val="Нижний колонтитул Знак"/>
    <w:basedOn w:val="699"/>
    <w:link w:val="705"/>
    <w:uiPriority w:val="99"/>
    <w:pPr>
      <w:pBdr/>
      <w:spacing/>
      <w:ind/>
    </w:pPr>
  </w:style>
  <w:style w:type="paragraph" w:styleId="707">
    <w:name w:val="Balloon Text"/>
    <w:basedOn w:val="697"/>
    <w:link w:val="708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08" w:customStyle="1">
    <w:name w:val="Текст выноски Знак"/>
    <w:basedOn w:val="699"/>
    <w:link w:val="70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09">
    <w:name w:val="Hyperlink"/>
    <w:basedOn w:val="699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710" w:customStyle="1">
    <w:name w:val="selector_content"/>
    <w:basedOn w:val="699"/>
    <w:pPr>
      <w:pBdr/>
      <w:spacing/>
      <w:ind/>
    </w:pPr>
  </w:style>
  <w:style w:type="character" w:styleId="711" w:customStyle="1">
    <w:name w:val="Заголовок 1 Знак"/>
    <w:basedOn w:val="699"/>
    <w:link w:val="698"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712">
    <w:name w:val="No Spacing"/>
    <w:uiPriority w:val="99"/>
    <w:qFormat/>
    <w:pPr>
      <w:pBdr/>
      <w:spacing w:after="0" w:line="240" w:lineRule="auto"/>
      <w:ind/>
    </w:pPr>
    <w:rPr>
      <w:rFonts w:ascii="Times New Roman" w:hAnsi="Times New Roman" w:eastAsia="Calibri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803480765893F91648F41CE13BB619E96E4C8F3C68CDF17CD0BD1A5D036F5ADDEEF7F7EB1C28A26E79133980AF89CC7F2A92893AA47BFF2D2D0E7A93RBl2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</dc:creator>
  <cp:keywords/>
  <dc:description/>
  <cp:revision>22</cp:revision>
  <dcterms:created xsi:type="dcterms:W3CDTF">2025-02-11T08:49:00Z</dcterms:created>
  <dcterms:modified xsi:type="dcterms:W3CDTF">2025-03-14T02:52:41Z</dcterms:modified>
</cp:coreProperties>
</file>