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DB545" w14:textId="77777777" w:rsidR="00900ADB" w:rsidRPr="006A3A47" w:rsidRDefault="00900ADB" w:rsidP="00900ADB">
      <w:pPr>
        <w:pStyle w:val="ConsPlusNormal"/>
        <w:ind w:left="4678"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3A47">
        <w:rPr>
          <w:rFonts w:ascii="Times New Roman" w:hAnsi="Times New Roman" w:cs="Times New Roman"/>
          <w:sz w:val="28"/>
          <w:szCs w:val="28"/>
        </w:rPr>
        <w:t>Приложение</w:t>
      </w:r>
    </w:p>
    <w:p w14:paraId="22B58BAD" w14:textId="00909BCF" w:rsidR="00900ADB" w:rsidRDefault="00900ADB" w:rsidP="007A3884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A3A47">
        <w:rPr>
          <w:rFonts w:ascii="Times New Roman" w:hAnsi="Times New Roman" w:cs="Times New Roman"/>
          <w:sz w:val="28"/>
          <w:szCs w:val="28"/>
        </w:rPr>
        <w:t>к решению городской Думы</w:t>
      </w:r>
      <w:r w:rsidR="007A38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A47">
        <w:rPr>
          <w:rFonts w:ascii="Times New Roman" w:hAnsi="Times New Roman" w:cs="Times New Roman"/>
          <w:sz w:val="28"/>
          <w:szCs w:val="28"/>
        </w:rPr>
        <w:t>от ______________</w:t>
      </w:r>
      <w:r w:rsidR="007A3884" w:rsidRPr="006A3A47">
        <w:rPr>
          <w:rFonts w:ascii="Times New Roman" w:hAnsi="Times New Roman" w:cs="Times New Roman"/>
          <w:sz w:val="28"/>
          <w:szCs w:val="28"/>
        </w:rPr>
        <w:t>_ №</w:t>
      </w:r>
      <w:r w:rsidR="007A3884">
        <w:rPr>
          <w:rFonts w:ascii="Times New Roman" w:hAnsi="Times New Roman" w:cs="Times New Roman"/>
          <w:sz w:val="28"/>
          <w:szCs w:val="28"/>
        </w:rPr>
        <w:t xml:space="preserve"> </w:t>
      </w:r>
      <w:r w:rsidRPr="006A3A47">
        <w:rPr>
          <w:rFonts w:ascii="Times New Roman" w:hAnsi="Times New Roman" w:cs="Times New Roman"/>
          <w:sz w:val="28"/>
          <w:szCs w:val="28"/>
        </w:rPr>
        <w:t>_</w:t>
      </w:r>
      <w:r w:rsidR="007A3884">
        <w:rPr>
          <w:rFonts w:ascii="Times New Roman" w:hAnsi="Times New Roman" w:cs="Times New Roman"/>
          <w:sz w:val="28"/>
          <w:szCs w:val="28"/>
        </w:rPr>
        <w:t>____</w:t>
      </w:r>
      <w:r w:rsidRPr="006A3A47">
        <w:rPr>
          <w:rFonts w:ascii="Times New Roman" w:hAnsi="Times New Roman" w:cs="Times New Roman"/>
          <w:sz w:val="28"/>
          <w:szCs w:val="28"/>
        </w:rPr>
        <w:t>___</w:t>
      </w:r>
    </w:p>
    <w:p w14:paraId="29BC385A" w14:textId="77777777" w:rsidR="001C0C9C" w:rsidRDefault="001C0C9C" w:rsidP="00900ADB">
      <w:pPr>
        <w:pStyle w:val="ConsPlusNormal"/>
        <w:ind w:left="4678" w:firstLine="709"/>
        <w:rPr>
          <w:rFonts w:ascii="Times New Roman" w:hAnsi="Times New Roman" w:cs="Times New Roman"/>
          <w:sz w:val="28"/>
          <w:szCs w:val="28"/>
        </w:rPr>
      </w:pPr>
    </w:p>
    <w:p w14:paraId="34CA99A1" w14:textId="77777777" w:rsidR="001C0C9C" w:rsidRDefault="001C0C9C" w:rsidP="007A3884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C0C9C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14:paraId="5B749386" w14:textId="415A845E" w:rsidR="001C0C9C" w:rsidRDefault="001C0C9C" w:rsidP="007A3884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C0C9C">
        <w:rPr>
          <w:rFonts w:ascii="Times New Roman" w:hAnsi="Times New Roman" w:cs="Times New Roman"/>
          <w:sz w:val="28"/>
          <w:szCs w:val="28"/>
        </w:rPr>
        <w:t>к Положению о муниципальном контроле за исполнением единой теплоснабжающей организацией обязательств по строительству, реконструкции и</w:t>
      </w:r>
      <w:r w:rsidR="007A3884">
        <w:rPr>
          <w:rFonts w:ascii="Times New Roman" w:hAnsi="Times New Roman" w:cs="Times New Roman"/>
          <w:sz w:val="28"/>
          <w:szCs w:val="28"/>
        </w:rPr>
        <w:t xml:space="preserve"> </w:t>
      </w:r>
      <w:r w:rsidRPr="001C0C9C">
        <w:rPr>
          <w:rFonts w:ascii="Times New Roman" w:hAnsi="Times New Roman" w:cs="Times New Roman"/>
          <w:sz w:val="28"/>
          <w:szCs w:val="28"/>
        </w:rPr>
        <w:t>(или) модернизации объектов теплоснабжения на территории городского округа – города Барнаула Алтайского края</w:t>
      </w:r>
    </w:p>
    <w:p w14:paraId="224C53F3" w14:textId="77777777" w:rsidR="00900ADB" w:rsidRPr="006A3A47" w:rsidRDefault="00900ADB" w:rsidP="00900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D43B4" w14:textId="77777777" w:rsidR="005F4A3E" w:rsidRPr="006A3A47" w:rsidRDefault="005F4A3E" w:rsidP="00900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B3398" w14:textId="77777777" w:rsidR="00900ADB" w:rsidRPr="006A3A47" w:rsidRDefault="00900ADB" w:rsidP="00900A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A47">
        <w:rPr>
          <w:rFonts w:ascii="Times New Roman" w:hAnsi="Times New Roman" w:cs="Times New Roman"/>
          <w:b w:val="0"/>
          <w:sz w:val="28"/>
          <w:szCs w:val="28"/>
        </w:rPr>
        <w:t>П</w:t>
      </w:r>
      <w:r w:rsidR="001C0C9C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14:paraId="17D73AF1" w14:textId="77777777" w:rsidR="00900ADB" w:rsidRDefault="001C0C9C" w:rsidP="001C0C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индикаторов риска нарушения обязательных требований, проверяемых в рамках осуществления муниципального контроля</w:t>
      </w:r>
    </w:p>
    <w:p w14:paraId="36FCF89B" w14:textId="77777777" w:rsidR="001C0C9C" w:rsidRPr="001C0C9C" w:rsidRDefault="001C0C9C" w:rsidP="001C0C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DA2FF9" w14:textId="79049F27" w:rsidR="00900ADB" w:rsidRDefault="00900ADB" w:rsidP="001C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47">
        <w:rPr>
          <w:rFonts w:ascii="Times New Roman" w:hAnsi="Times New Roman" w:cs="Times New Roman"/>
          <w:sz w:val="28"/>
          <w:szCs w:val="28"/>
        </w:rPr>
        <w:t>1.</w:t>
      </w:r>
      <w:r w:rsidR="001C0C9C">
        <w:rPr>
          <w:rFonts w:ascii="Times New Roman" w:hAnsi="Times New Roman" w:cs="Times New Roman"/>
          <w:sz w:val="28"/>
          <w:szCs w:val="28"/>
        </w:rPr>
        <w:t xml:space="preserve"> </w:t>
      </w:r>
      <w:r w:rsidR="00041083">
        <w:rPr>
          <w:rFonts w:ascii="Times New Roman" w:hAnsi="Times New Roman" w:cs="Times New Roman"/>
          <w:sz w:val="28"/>
          <w:szCs w:val="28"/>
        </w:rPr>
        <w:t>Нарушение единой теплоснабжающей организацией сроков реализации, перечня мероприятий по строительству, реконструкции и</w:t>
      </w:r>
      <w:r w:rsidR="007A3884">
        <w:rPr>
          <w:rFonts w:ascii="Times New Roman" w:hAnsi="Times New Roman" w:cs="Times New Roman"/>
          <w:sz w:val="28"/>
          <w:szCs w:val="28"/>
        </w:rPr>
        <w:t xml:space="preserve"> </w:t>
      </w:r>
      <w:r w:rsidR="00041083">
        <w:rPr>
          <w:rFonts w:ascii="Times New Roman" w:hAnsi="Times New Roman" w:cs="Times New Roman"/>
          <w:sz w:val="28"/>
          <w:szCs w:val="28"/>
        </w:rPr>
        <w:t>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городского округа – города Барнаула Алтайского края.</w:t>
      </w:r>
    </w:p>
    <w:p w14:paraId="6C6F9182" w14:textId="77777777" w:rsidR="00540493" w:rsidRDefault="00540493" w:rsidP="005404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Неоднократное поступление в контрольный орган от органов государственной власти</w:t>
      </w:r>
      <w:r w:rsidRPr="0074709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юридических лиц, общественных объединений, граждан,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747095">
        <w:rPr>
          <w:rFonts w:ascii="Times New Roman" w:hAnsi="Times New Roman" w:cs="Times New Roman"/>
          <w:sz w:val="28"/>
          <w:szCs w:val="28"/>
        </w:rPr>
        <w:t>средств массовой информации, информационно-</w:t>
      </w:r>
      <w:r w:rsidRPr="00C2619E">
        <w:rPr>
          <w:rFonts w:ascii="Times New Roman" w:hAnsi="Times New Roman" w:cs="Times New Roman"/>
          <w:sz w:val="28"/>
          <w:szCs w:val="28"/>
        </w:rPr>
        <w:t>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</w:t>
      </w:r>
      <w:r w:rsidRPr="00540493">
        <w:rPr>
          <w:rFonts w:ascii="Times New Roman" w:hAnsi="Times New Roman" w:cs="Times New Roman"/>
          <w:sz w:val="28"/>
          <w:szCs w:val="28"/>
        </w:rPr>
        <w:t>сведений, которые могут свидетельствовать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2619E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19E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и (или) модернизации объектов теплоснабжения на территории городского округа – города Барнаула Алтайского края.</w:t>
      </w:r>
    </w:p>
    <w:p w14:paraId="0F2E1746" w14:textId="77777777" w:rsidR="00540493" w:rsidRDefault="00540493" w:rsidP="005404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31A5D23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573C2AF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5008B8B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0F6106B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AE07FD5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194F99B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B386BA1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E85BB6E" w14:textId="77777777" w:rsidR="00C2619E" w:rsidRDefault="00C2619E" w:rsidP="001C0C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B7450CA" w14:textId="77777777" w:rsidR="00900ADB" w:rsidRDefault="00900ADB" w:rsidP="00900ADB">
      <w:pPr>
        <w:ind w:firstLine="0"/>
      </w:pPr>
    </w:p>
    <w:p w14:paraId="5F5B7F05" w14:textId="77777777" w:rsidR="00E5406B" w:rsidRPr="00701FE4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701FE4">
        <w:rPr>
          <w:color w:val="000000"/>
        </w:rPr>
        <w:t>ПОЯСНИТЕЛЬНАЯ ЗАПИСКА</w:t>
      </w:r>
    </w:p>
    <w:p w14:paraId="5424D4C8" w14:textId="77777777" w:rsidR="00E5406B" w:rsidRPr="00425B87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25B87">
        <w:rPr>
          <w:color w:val="000000"/>
        </w:rPr>
        <w:t>к проекту решения городской Думы «</w:t>
      </w:r>
      <w:r w:rsidRPr="00425B87">
        <w:t>О внесении изменения и дополнения в решение городской Думы от 30.11.2021 №800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</w:t>
      </w:r>
      <w:r>
        <w:t xml:space="preserve"> </w:t>
      </w:r>
      <w:r w:rsidRPr="00425B87">
        <w:t>(или) модернизации объектов теплоснабжения на территории городского округа – города Барнаула Алтайского края</w:t>
      </w:r>
      <w:r w:rsidRPr="00425B87">
        <w:rPr>
          <w:color w:val="000000"/>
        </w:rPr>
        <w:t>»</w:t>
      </w:r>
    </w:p>
    <w:p w14:paraId="2403E110" w14:textId="77777777" w:rsidR="00E5406B" w:rsidRPr="00425B87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DDE593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Настоящий проект решения городской Думы предусматривает внесение изменений и дополнений в </w:t>
      </w:r>
      <w:r w:rsidRPr="00425B87">
        <w:t>Положени</w:t>
      </w:r>
      <w:r>
        <w:t>е</w:t>
      </w:r>
      <w:r w:rsidRPr="00425B87">
        <w:t xml:space="preserve"> о муниципальном контроле за исполнением единой теплоснабжающей организацией обязательств по строительству, реконструкции и(или) модернизации объектов теплоснабжения на территории городского округа – города Барнаула Алтайского края</w:t>
      </w:r>
      <w:r>
        <w:t xml:space="preserve">, утвержденное решением городской Думы от 30.11.2021 №800 (далее – Положение).  </w:t>
      </w:r>
      <w:r w:rsidRPr="004D5DCE">
        <w:t>Проект подготовлен с учетом</w:t>
      </w:r>
      <w:r w:rsidRPr="00422977">
        <w:t xml:space="preserve"> </w:t>
      </w:r>
      <w:r>
        <w:t xml:space="preserve">протеста прокурора </w:t>
      </w:r>
      <w:proofErr w:type="spellStart"/>
      <w:r>
        <w:t>г.Барнаула</w:t>
      </w:r>
      <w:proofErr w:type="spellEnd"/>
      <w:r>
        <w:t xml:space="preserve">, с целью приведения в соответствие с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№248-ФЗ), </w:t>
      </w:r>
      <w:r w:rsidRPr="00422977">
        <w:t>постановлени</w:t>
      </w:r>
      <w:r>
        <w:t>ем</w:t>
      </w:r>
      <w:r w:rsidRPr="00422977">
        <w:t xml:space="preserve">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t>, постановлением Правительства Российской Федерации от 10.03.2023 №372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(далее – постановление Правительства РФ №372).</w:t>
      </w:r>
    </w:p>
    <w:p w14:paraId="32BD0C2C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Постановлением Правительства РФ №372 продлен мораторий на проведение плановых контрольных мероприятий при осуществлении муниципального контроля до 2030 года, за исключением объектов контроля, отнесенных к категориям чрезвычайно высокого и высокого риска, опасным производственным объектам </w:t>
      </w:r>
      <w:r>
        <w:rPr>
          <w:lang w:val="en-US"/>
        </w:rPr>
        <w:t>II</w:t>
      </w:r>
      <w:r w:rsidRPr="00B516D2">
        <w:t xml:space="preserve"> </w:t>
      </w:r>
      <w:r>
        <w:t xml:space="preserve">класса опасности, гидротехническим сооружениям </w:t>
      </w:r>
      <w:r>
        <w:rPr>
          <w:lang w:val="en-US"/>
        </w:rPr>
        <w:t>II</w:t>
      </w:r>
      <w:r>
        <w:t xml:space="preserve"> класса. Также установлено, что могут быть проведены однодневные профилактические визиты, не предусматривающие возможность отказа контролируемого лица от их проведения по поручению Президента Российской Федерации, заместителя Председателя Правительства Российской Федерации.</w:t>
      </w:r>
    </w:p>
    <w:p w14:paraId="1988D0AC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Постановлением Правительства Российской Федерации от 29.12.2022 №2516 «</w:t>
      </w:r>
      <w:r w:rsidRPr="00043D6B">
        <w:t xml:space="preserve">О внесении изменений в постановление Правительства Российской Федерации от 10 марта 2022 г. </w:t>
      </w:r>
      <w:r>
        <w:t>№</w:t>
      </w:r>
      <w:r w:rsidRPr="00043D6B">
        <w:t>336</w:t>
      </w:r>
      <w:r>
        <w:t>» внесены изменения в перечень оснований для проведения внеплановых контрольных (надзорных) мероприятий включено выявление индикаторов риска нарушения обязательных требований.</w:t>
      </w:r>
    </w:p>
    <w:p w14:paraId="30BA2469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В соответствии с ч.9 ст. 23 Федерального закона №248-ФЗ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нарушения и риска причинения вреда (ущерба) охраняемым законом ценностям.</w:t>
      </w:r>
    </w:p>
    <w:p w14:paraId="7013A662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Кроме того, в соответствии с ч. 2 ст. 49 Федерального закона №248-ФЗ предостережение о недопустимости нарушения обязательных требований не может содержать требование представления контролируемым лицом сведений и документов. На основании изложенного, предлагается учесть указанные изменения, изложив Перечень индикаторов риска нарушения обязательных требований, проверяемых в рамках осуществления муниципального контроля, установленных приложением к Положению, в новой редакции.</w:t>
      </w:r>
    </w:p>
    <w:p w14:paraId="3CE3006D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856"/>
      </w:tblGrid>
      <w:tr w:rsidR="00E5406B" w:rsidRPr="00D63CA4" w14:paraId="05AAEBA8" w14:textId="77777777" w:rsidTr="00E5406B"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3521" w14:textId="77777777" w:rsidR="00E5406B" w:rsidRPr="00D63CA4" w:rsidRDefault="00E5406B" w:rsidP="004C0F22">
            <w:pPr>
              <w:spacing w:line="276" w:lineRule="auto"/>
              <w:jc w:val="center"/>
            </w:pPr>
            <w:r w:rsidRPr="00D63CA4">
              <w:t>Действующая редакция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2388" w14:textId="77777777" w:rsidR="00E5406B" w:rsidRPr="00D63CA4" w:rsidRDefault="00E5406B" w:rsidP="004C0F22">
            <w:pPr>
              <w:spacing w:line="276" w:lineRule="auto"/>
              <w:jc w:val="center"/>
            </w:pPr>
            <w:r w:rsidRPr="00D63CA4">
              <w:t>Предлагаемая редакция</w:t>
            </w:r>
          </w:p>
        </w:tc>
      </w:tr>
      <w:tr w:rsidR="00E5406B" w:rsidRPr="00D63CA4" w14:paraId="0DB1DCF7" w14:textId="77777777" w:rsidTr="00E5406B"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37F1" w14:textId="77777777" w:rsidR="00E5406B" w:rsidRPr="000D4DDF" w:rsidRDefault="00E5406B" w:rsidP="004C0F22">
            <w:pPr>
              <w:spacing w:line="276" w:lineRule="auto"/>
              <w:jc w:val="center"/>
            </w:pPr>
            <w:r>
              <w:t>Дополнить п</w:t>
            </w:r>
            <w:r w:rsidRPr="000D4DDF">
              <w:t>ункт</w:t>
            </w:r>
            <w:r>
              <w:t>ом</w:t>
            </w:r>
            <w:r w:rsidRPr="000D4DDF">
              <w:t xml:space="preserve"> </w:t>
            </w:r>
            <w:r>
              <w:t>1</w:t>
            </w:r>
            <w:r w:rsidRPr="000D4DDF">
              <w:t>.</w:t>
            </w:r>
            <w:r>
              <w:t>8 Положения</w:t>
            </w:r>
            <w:r w:rsidRPr="000D4DDF">
              <w:t xml:space="preserve"> </w:t>
            </w:r>
          </w:p>
        </w:tc>
      </w:tr>
      <w:tr w:rsidR="00E5406B" w:rsidRPr="00D63CA4" w14:paraId="691A763B" w14:textId="77777777" w:rsidTr="00E5406B">
        <w:trPr>
          <w:trHeight w:val="3146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9CFC" w14:textId="77777777" w:rsidR="00E5406B" w:rsidRPr="00D63CA4" w:rsidRDefault="00E5406B" w:rsidP="004C0F22">
            <w:pPr>
              <w:tabs>
                <w:tab w:val="left" w:pos="709"/>
              </w:tabs>
            </w:pPr>
            <w:r>
              <w:t>дополнить</w:t>
            </w:r>
          </w:p>
          <w:p w14:paraId="107164AA" w14:textId="77777777" w:rsidR="00E5406B" w:rsidRPr="00D63CA4" w:rsidRDefault="00E5406B" w:rsidP="004C0F22">
            <w:pPr>
              <w:tabs>
                <w:tab w:val="left" w:pos="709"/>
              </w:tabs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7DA3" w14:textId="77777777" w:rsidR="00E5406B" w:rsidRPr="007B54F4" w:rsidRDefault="00E5406B" w:rsidP="004C0F22">
            <w:pPr>
              <w:tabs>
                <w:tab w:val="left" w:pos="709"/>
              </w:tabs>
              <w:ind w:firstLine="663"/>
              <w:rPr>
                <w:b/>
              </w:rPr>
            </w:pPr>
            <w:r w:rsidRPr="007B54F4">
              <w:rPr>
                <w:b/>
              </w:rPr>
              <w:t>1.8. Положение применяется с учетом особенностей, установленных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      </w:r>
          </w:p>
          <w:p w14:paraId="5DF3B2AD" w14:textId="77777777" w:rsidR="00E5406B" w:rsidRPr="00DB3374" w:rsidRDefault="00E5406B" w:rsidP="004C0F22"/>
        </w:tc>
      </w:tr>
      <w:tr w:rsidR="00E5406B" w:rsidRPr="00D63CA4" w14:paraId="20DA1E0B" w14:textId="77777777" w:rsidTr="00E5406B">
        <w:trPr>
          <w:trHeight w:val="427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980A" w14:textId="77777777" w:rsidR="00E5406B" w:rsidRDefault="00E5406B" w:rsidP="004C0F2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Приложение 3 к Положению</w:t>
            </w:r>
          </w:p>
          <w:p w14:paraId="447392F8" w14:textId="77777777" w:rsidR="00E5406B" w:rsidRPr="00DB3374" w:rsidRDefault="00E5406B" w:rsidP="004C0F22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Перечень индикаторов риска нарушения обязательных требований, проверяемых в рамках осуществления муниципального контроля</w:t>
            </w:r>
          </w:p>
        </w:tc>
      </w:tr>
      <w:tr w:rsidR="00E5406B" w:rsidRPr="00D63CA4" w14:paraId="520B2E44" w14:textId="77777777" w:rsidTr="00E5406B">
        <w:trPr>
          <w:trHeight w:val="1734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FB0" w14:textId="77777777" w:rsidR="00E5406B" w:rsidRDefault="00E5406B" w:rsidP="004C0F22">
            <w:pPr>
              <w:autoSpaceDE w:val="0"/>
              <w:autoSpaceDN w:val="0"/>
              <w:adjustRightInd w:val="0"/>
              <w:ind w:firstLine="540"/>
            </w:pPr>
            <w:r>
              <w:t xml:space="preserve">1. Нарушение </w:t>
            </w:r>
            <w:r w:rsidRPr="00962C5E">
              <w:rPr>
                <w:b/>
                <w:bCs/>
              </w:rPr>
              <w:t>сроков выполнения мероприятий, предусмотренных схемой теплоснабжения</w:t>
            </w:r>
            <w:r>
              <w:t>.</w:t>
            </w:r>
          </w:p>
          <w:p w14:paraId="4AC6DF05" w14:textId="77777777" w:rsidR="00E5406B" w:rsidRDefault="00E5406B" w:rsidP="004C0F22">
            <w:pPr>
              <w:autoSpaceDE w:val="0"/>
              <w:autoSpaceDN w:val="0"/>
              <w:adjustRightInd w:val="0"/>
              <w:ind w:firstLine="540"/>
            </w:pPr>
            <w:r>
              <w:t>2. Непредставление в срок, установленный контрольным органом в предостережении о недопустимости нарушения обязательных требований, уведомления о принятии мер по обеспечению соблюдения обязательных требований.</w:t>
            </w:r>
          </w:p>
          <w:p w14:paraId="4A6694DD" w14:textId="77777777" w:rsidR="00E5406B" w:rsidRDefault="00E5406B" w:rsidP="004C0F22">
            <w:pPr>
              <w:autoSpaceDE w:val="0"/>
              <w:autoSpaceDN w:val="0"/>
              <w:adjustRightInd w:val="0"/>
              <w:ind w:firstLine="540"/>
            </w:pPr>
            <w:r>
              <w:t xml:space="preserve">3. </w:t>
            </w:r>
            <w:r w:rsidRPr="00962C5E">
              <w:rPr>
                <w:b/>
                <w:bCs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>
              <w:t xml:space="preserve"> </w:t>
            </w:r>
            <w:r w:rsidRPr="00962C5E">
              <w:rPr>
                <w:b/>
                <w:bCs/>
              </w:rPr>
              <w:t>(заявлениях) граждан, организаций, органов государственной власти и органов местного самоуправления информации о нарушениях обязательных требований</w:t>
            </w:r>
            <w:r>
              <w:t>.</w:t>
            </w:r>
          </w:p>
          <w:p w14:paraId="5C69B827" w14:textId="77777777" w:rsidR="00E5406B" w:rsidRDefault="00E5406B" w:rsidP="004C0F22">
            <w:pPr>
              <w:autoSpaceDE w:val="0"/>
              <w:autoSpaceDN w:val="0"/>
              <w:adjustRightInd w:val="0"/>
              <w:outlineLvl w:val="0"/>
            </w:pPr>
          </w:p>
          <w:p w14:paraId="5ECA9026" w14:textId="77777777" w:rsidR="00E5406B" w:rsidRDefault="00E5406B" w:rsidP="004C0F22">
            <w:pPr>
              <w:tabs>
                <w:tab w:val="left" w:pos="709"/>
              </w:tabs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F5CC" w14:textId="77777777" w:rsidR="00E5406B" w:rsidRDefault="00E5406B" w:rsidP="004C0F2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</w:t>
            </w:r>
            <w:r w:rsidRPr="00962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единой теплоснабжающей организацией сроков реализации, перечня мероприятий по строительству, реконструкции и(или)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городского округа – города Барнаула Алтайского края.</w:t>
            </w:r>
          </w:p>
          <w:p w14:paraId="1ECA4D7B" w14:textId="77777777" w:rsidR="00E5406B" w:rsidRPr="001665D6" w:rsidRDefault="00E5406B" w:rsidP="004C0F22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62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Неоднократное поступление в контрольный орган от органов государственной власти,</w:t>
            </w:r>
            <w:r w:rsidRPr="00747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органов местного самоуправления, юридических лиц, общественных объединений, граждан, </w:t>
            </w:r>
            <w:r w:rsidRPr="001665D6">
              <w:rPr>
                <w:rFonts w:ascii="Times New Roman" w:hAnsi="Times New Roman" w:cs="Times New Roman"/>
                <w:b/>
                <w:sz w:val="28"/>
                <w:szCs w:val="28"/>
              </w:rPr>
              <w:t>из средств массовой информации, информационно-телекоммуникационной сети «Интернет» сведений, которые могут свидетельствовать о нарушении контролируемыми лицами обязательств по строительству, реконструкции и (или) модернизации объектов теплоснабжения на территории городского округа – города Барнаула Алтайского края.</w:t>
            </w:r>
          </w:p>
        </w:tc>
      </w:tr>
    </w:tbl>
    <w:p w14:paraId="11FAC497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549F2F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Предлагается принять </w:t>
      </w:r>
      <w:r w:rsidRPr="00425B87">
        <w:rPr>
          <w:color w:val="000000"/>
        </w:rPr>
        <w:t>решени</w:t>
      </w:r>
      <w:r>
        <w:rPr>
          <w:color w:val="000000"/>
        </w:rPr>
        <w:t>е</w:t>
      </w:r>
      <w:r w:rsidRPr="00425B87">
        <w:rPr>
          <w:color w:val="000000"/>
        </w:rPr>
        <w:t xml:space="preserve"> городской Думы «</w:t>
      </w:r>
      <w:r w:rsidRPr="00425B87">
        <w:t>О внесении изменения и дополнения в решение городской Думы от 30.11.2021 №800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</w:t>
      </w:r>
      <w:r>
        <w:t xml:space="preserve"> </w:t>
      </w:r>
      <w:r w:rsidRPr="00425B87">
        <w:t>(или) модернизации объектов теплоснабжения на территории городского округа – города Барнаула Алтайского края</w:t>
      </w:r>
      <w:r w:rsidRPr="00425B87">
        <w:rPr>
          <w:color w:val="000000"/>
        </w:rPr>
        <w:t>»</w:t>
      </w:r>
      <w:r>
        <w:rPr>
          <w:color w:val="000000"/>
        </w:rPr>
        <w:t>.</w:t>
      </w:r>
    </w:p>
    <w:p w14:paraId="356BAF1B" w14:textId="77777777" w:rsidR="00E5406B" w:rsidRPr="004933E6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3E6">
        <w:rPr>
          <w:color w:val="000000"/>
        </w:rPr>
        <w:t>Настоящий проект решения не подлежит общественному обсуждению и оценке регулирующего воздействия.</w:t>
      </w:r>
    </w:p>
    <w:p w14:paraId="7F298143" w14:textId="77777777" w:rsidR="00E5406B" w:rsidRPr="00701FE4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933E6">
        <w:rPr>
          <w:color w:val="000000"/>
        </w:rPr>
        <w:t xml:space="preserve">Антикоррупционная экспертиза проведена, </w:t>
      </w:r>
      <w:proofErr w:type="spellStart"/>
      <w:r w:rsidRPr="004933E6">
        <w:rPr>
          <w:color w:val="000000"/>
        </w:rPr>
        <w:t>коррупциогенных</w:t>
      </w:r>
      <w:proofErr w:type="spellEnd"/>
      <w:r w:rsidRPr="004933E6">
        <w:rPr>
          <w:color w:val="000000"/>
        </w:rPr>
        <w:t xml:space="preserve"> факторов не выявлено.</w:t>
      </w:r>
    </w:p>
    <w:p w14:paraId="7650DB1A" w14:textId="77777777" w:rsidR="00E5406B" w:rsidRPr="00701FE4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F266B7" w14:textId="77777777" w:rsidR="00E5406B" w:rsidRPr="00701FE4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5B2E1B" w14:textId="77777777" w:rsidR="00E5406B" w:rsidRPr="00701FE4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1FE4">
        <w:rPr>
          <w:color w:val="000000"/>
        </w:rPr>
        <w:t xml:space="preserve">Заместитель председателя </w:t>
      </w:r>
    </w:p>
    <w:p w14:paraId="0104A16C" w14:textId="77777777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1FE4">
        <w:rPr>
          <w:color w:val="000000"/>
        </w:rPr>
        <w:t xml:space="preserve">комитета по </w:t>
      </w:r>
      <w:r>
        <w:rPr>
          <w:color w:val="000000"/>
        </w:rPr>
        <w:t xml:space="preserve">энергоресурсам и </w:t>
      </w:r>
    </w:p>
    <w:p w14:paraId="29B15705" w14:textId="5181523E" w:rsidR="00E5406B" w:rsidRDefault="00E5406B" w:rsidP="00E540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газификации города Барнаула</w:t>
      </w:r>
      <w:r w:rsidRPr="00701FE4">
        <w:rPr>
          <w:color w:val="000000"/>
        </w:rPr>
        <w:tab/>
      </w:r>
      <w:r w:rsidRPr="00701FE4">
        <w:rPr>
          <w:color w:val="000000"/>
        </w:rPr>
        <w:tab/>
        <w:t xml:space="preserve">            </w:t>
      </w:r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А</w:t>
      </w:r>
      <w:r w:rsidRPr="00701FE4">
        <w:rPr>
          <w:color w:val="000000"/>
        </w:rPr>
        <w:t>.</w:t>
      </w:r>
      <w:r>
        <w:rPr>
          <w:color w:val="000000"/>
        </w:rPr>
        <w:t>Г</w:t>
      </w:r>
      <w:proofErr w:type="spellEnd"/>
      <w:r w:rsidRPr="00701FE4">
        <w:rPr>
          <w:color w:val="000000"/>
        </w:rPr>
        <w:t xml:space="preserve">. </w:t>
      </w:r>
      <w:proofErr w:type="spellStart"/>
      <w:r>
        <w:rPr>
          <w:color w:val="000000"/>
        </w:rPr>
        <w:t>Ситкин</w:t>
      </w:r>
      <w:proofErr w:type="spellEnd"/>
      <w:r>
        <w:rPr>
          <w:color w:val="000000"/>
        </w:rPr>
        <w:t xml:space="preserve"> </w:t>
      </w:r>
    </w:p>
    <w:p w14:paraId="484C2974" w14:textId="77777777" w:rsidR="00C2619E" w:rsidRPr="00C2619E" w:rsidRDefault="00C2619E" w:rsidP="00900ADB">
      <w:pPr>
        <w:ind w:firstLine="0"/>
      </w:pPr>
    </w:p>
    <w:sectPr w:rsidR="00C2619E" w:rsidRPr="00C2619E" w:rsidSect="007A3884">
      <w:headerReference w:type="default" r:id="rId6"/>
      <w:headerReference w:type="firs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FB36" w14:textId="77777777" w:rsidR="001F6F4A" w:rsidRDefault="001F6F4A" w:rsidP="005F4A3E">
      <w:r>
        <w:separator/>
      </w:r>
    </w:p>
  </w:endnote>
  <w:endnote w:type="continuationSeparator" w:id="0">
    <w:p w14:paraId="0511AA4A" w14:textId="77777777" w:rsidR="001F6F4A" w:rsidRDefault="001F6F4A" w:rsidP="005F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C1EC" w14:textId="77777777" w:rsidR="001F6F4A" w:rsidRDefault="001F6F4A" w:rsidP="005F4A3E">
      <w:r>
        <w:separator/>
      </w:r>
    </w:p>
  </w:footnote>
  <w:footnote w:type="continuationSeparator" w:id="0">
    <w:p w14:paraId="3ECB856D" w14:textId="77777777" w:rsidR="001F6F4A" w:rsidRDefault="001F6F4A" w:rsidP="005F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95838" w14:textId="416F3FA2" w:rsidR="000A332D" w:rsidRDefault="000A332D">
    <w:pPr>
      <w:pStyle w:val="a6"/>
      <w:jc w:val="right"/>
    </w:pPr>
  </w:p>
  <w:p w14:paraId="07BA3C1B" w14:textId="77777777" w:rsidR="000A332D" w:rsidRDefault="000A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57824" w14:textId="77777777" w:rsidR="000A332D" w:rsidRDefault="000A332D">
    <w:pPr>
      <w:pStyle w:val="a6"/>
      <w:jc w:val="right"/>
    </w:pPr>
  </w:p>
  <w:p w14:paraId="586EC289" w14:textId="77777777" w:rsidR="000A332D" w:rsidRDefault="000A33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4F"/>
    <w:rsid w:val="000062BA"/>
    <w:rsid w:val="00041083"/>
    <w:rsid w:val="00064588"/>
    <w:rsid w:val="00083510"/>
    <w:rsid w:val="000A332D"/>
    <w:rsid w:val="000D57E2"/>
    <w:rsid w:val="001003E0"/>
    <w:rsid w:val="00102AC7"/>
    <w:rsid w:val="001906B2"/>
    <w:rsid w:val="001C0C9C"/>
    <w:rsid w:val="001C4F1A"/>
    <w:rsid w:val="001E0F4E"/>
    <w:rsid w:val="001E6AA2"/>
    <w:rsid w:val="001F6F4A"/>
    <w:rsid w:val="00220BEA"/>
    <w:rsid w:val="00227FD2"/>
    <w:rsid w:val="0024634F"/>
    <w:rsid w:val="0031733D"/>
    <w:rsid w:val="00333F5D"/>
    <w:rsid w:val="0033452E"/>
    <w:rsid w:val="003719F4"/>
    <w:rsid w:val="00373E49"/>
    <w:rsid w:val="003C47F0"/>
    <w:rsid w:val="003C5892"/>
    <w:rsid w:val="00406BD9"/>
    <w:rsid w:val="00414A68"/>
    <w:rsid w:val="00467E60"/>
    <w:rsid w:val="00496E11"/>
    <w:rsid w:val="005222B5"/>
    <w:rsid w:val="005249DF"/>
    <w:rsid w:val="00526C5B"/>
    <w:rsid w:val="00540493"/>
    <w:rsid w:val="005A03A5"/>
    <w:rsid w:val="005C0E4B"/>
    <w:rsid w:val="005F4502"/>
    <w:rsid w:val="005F4A3E"/>
    <w:rsid w:val="0061083C"/>
    <w:rsid w:val="00610AC4"/>
    <w:rsid w:val="00624DCA"/>
    <w:rsid w:val="00685F45"/>
    <w:rsid w:val="006A3A47"/>
    <w:rsid w:val="006C37E7"/>
    <w:rsid w:val="006E5CB5"/>
    <w:rsid w:val="00715EBF"/>
    <w:rsid w:val="00742B15"/>
    <w:rsid w:val="00744C08"/>
    <w:rsid w:val="007A3884"/>
    <w:rsid w:val="007D640A"/>
    <w:rsid w:val="00885248"/>
    <w:rsid w:val="00894F79"/>
    <w:rsid w:val="008C4E87"/>
    <w:rsid w:val="008C5720"/>
    <w:rsid w:val="00900ADB"/>
    <w:rsid w:val="009166F8"/>
    <w:rsid w:val="00931BA2"/>
    <w:rsid w:val="00946460"/>
    <w:rsid w:val="009F031F"/>
    <w:rsid w:val="00A936CE"/>
    <w:rsid w:val="00AA798B"/>
    <w:rsid w:val="00AB5751"/>
    <w:rsid w:val="00B35B84"/>
    <w:rsid w:val="00B71DB9"/>
    <w:rsid w:val="00B95442"/>
    <w:rsid w:val="00BC2B2C"/>
    <w:rsid w:val="00BD0E5D"/>
    <w:rsid w:val="00BE20C9"/>
    <w:rsid w:val="00C22023"/>
    <w:rsid w:val="00C2619E"/>
    <w:rsid w:val="00D076F3"/>
    <w:rsid w:val="00D72945"/>
    <w:rsid w:val="00D76E03"/>
    <w:rsid w:val="00DE744A"/>
    <w:rsid w:val="00E03565"/>
    <w:rsid w:val="00E15C86"/>
    <w:rsid w:val="00E44777"/>
    <w:rsid w:val="00E5406B"/>
    <w:rsid w:val="00E65C2D"/>
    <w:rsid w:val="00E97474"/>
    <w:rsid w:val="00EB276D"/>
    <w:rsid w:val="00ED1982"/>
    <w:rsid w:val="00F57454"/>
    <w:rsid w:val="00F62D9D"/>
    <w:rsid w:val="00F73FDB"/>
    <w:rsid w:val="00F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7D30"/>
  <w15:docId w15:val="{CACD63EC-12F6-4437-8E0D-CE6588A6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CA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06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06BD9"/>
    <w:pPr>
      <w:ind w:left="720"/>
      <w:contextualSpacing/>
    </w:pPr>
  </w:style>
  <w:style w:type="paragraph" w:customStyle="1" w:styleId="ConsPlusTitle">
    <w:name w:val="ConsPlusTitle"/>
    <w:rsid w:val="009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4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A3E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F4A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A3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Евгения Константиновна  Борисова</cp:lastModifiedBy>
  <cp:revision>2</cp:revision>
  <cp:lastPrinted>2023-05-17T07:55:00Z</cp:lastPrinted>
  <dcterms:created xsi:type="dcterms:W3CDTF">2023-05-25T02:54:00Z</dcterms:created>
  <dcterms:modified xsi:type="dcterms:W3CDTF">2023-05-25T02:54:00Z</dcterms:modified>
</cp:coreProperties>
</file>