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1C" w:rsidRDefault="00D73E37" w:rsidP="005F711C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5F711C" w:rsidRDefault="001E6FE6" w:rsidP="005F711C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  <w:r w:rsidR="00D73E37"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73E37" w:rsidRPr="00D73E37" w:rsidRDefault="004C76AD" w:rsidP="005F711C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5F711C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3E37"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комитета</w:t>
      </w:r>
      <w:r w:rsidR="005F71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заказа города Барнаула</w:t>
      </w:r>
    </w:p>
    <w:p w:rsidR="00D73E37" w:rsidRPr="00D73E37" w:rsidRDefault="00D73E37" w:rsidP="005F711C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7278A8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278A8">
        <w:rPr>
          <w:rFonts w:ascii="Times New Roman" w:eastAsia="Times New Roman" w:hAnsi="Times New Roman" w:cs="Times New Roman"/>
          <w:sz w:val="28"/>
          <w:szCs w:val="20"/>
          <w:lang w:eastAsia="ru-RU"/>
        </w:rPr>
        <w:t>июля 2022 №22</w:t>
      </w:r>
    </w:p>
    <w:p w:rsidR="00D73E37" w:rsidRPr="00D73E37" w:rsidRDefault="00D73E37" w:rsidP="00D73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37" w:rsidRPr="00D73E37" w:rsidRDefault="00D73E37" w:rsidP="00D73E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D73E37" w:rsidRPr="00D73E37" w:rsidRDefault="00D73E37" w:rsidP="00D73E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 в бюджет города Барнаула</w:t>
      </w:r>
      <w:r>
        <w:t xml:space="preserve">, </w:t>
      </w:r>
      <w:r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муниципального заказа города Барнаула</w:t>
      </w:r>
    </w:p>
    <w:p w:rsidR="00D73E37" w:rsidRPr="00D73E37" w:rsidRDefault="00D73E37" w:rsidP="00D73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37" w:rsidRPr="00D73E37" w:rsidRDefault="004C76AD" w:rsidP="00D73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3E37"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D73E37" w:rsidRPr="00D73E37" w:rsidRDefault="00D73E37" w:rsidP="00D73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E37" w:rsidRPr="00D73E37" w:rsidRDefault="00D73E37" w:rsidP="0004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55AF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Настоящая методика определяет параметры прогнозирования поступлений по доходам бюджета</w:t>
      </w:r>
      <w:r w:rsid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</w:t>
      </w:r>
      <w:r w:rsidR="00DB3D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Барнаула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главным администратором которых является </w:t>
      </w:r>
      <w:r w:rsid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 муниципального заказа города Барнаула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соответственно — доходы бюджета</w:t>
      </w:r>
      <w:r w:rsidR="00067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, главный администратор доходов, методика прогнозирования).</w:t>
      </w:r>
    </w:p>
    <w:p w:rsidR="00C10054" w:rsidRDefault="007C36E0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Методика    прогнозирования    опре</w:t>
      </w:r>
      <w:r w:rsid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деляет    порядок    исчисления 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прогнозного объема посту</w:t>
      </w:r>
      <w:r w:rsidR="00A9736F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плений по каждому виду доходов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, методы расчета прогнозного объема поступлений по каждому виду доходов, описание фактического алгоритма расчета (формулу) прогнозируемого объема поступлений по ка</w:t>
      </w:r>
      <w:r w:rsid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ж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дому виду доходов.</w:t>
      </w:r>
    </w:p>
    <w:p w:rsidR="00AE4804" w:rsidRDefault="007C36E0" w:rsidP="00013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3DC5" w:rsidRPr="00DB3D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Прогнозирование поступлений доходов осуществляется 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 с учетом изменений, вступающих </w:t>
      </w:r>
      <w:r w:rsidR="00DB3DC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силу в прогнозируемом периоде</w:t>
      </w:r>
      <w:r w:rsidR="00013CD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0054" w:rsidRDefault="007C36E0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</w:t>
      </w:r>
      <w:r w:rsidR="00AE48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C10054" w:rsidRPr="00C100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прогнозировании администрируемых доходов применяются следующие методы прогнозирования:</w:t>
      </w:r>
    </w:p>
    <w:p w:rsidR="0061552F" w:rsidRDefault="0061552F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55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прямой расчет – расчет, основанный на непосредственном использовании прогнозных значений показателей, определяющих прогнозный объем поступлен</w:t>
      </w:r>
      <w:r w:rsidR="00BC3789">
        <w:rPr>
          <w:rFonts w:ascii="Times New Roman" w:eastAsia="Times New Roman" w:hAnsi="Times New Roman" w:cs="Times New Roman"/>
          <w:sz w:val="28"/>
          <w:szCs w:val="20"/>
          <w:lang w:eastAsia="ru-RU"/>
        </w:rPr>
        <w:t>ий прогнозируемого вида доходов;</w:t>
      </w:r>
    </w:p>
    <w:p w:rsidR="00BC3789" w:rsidRPr="00C10054" w:rsidRDefault="00BC3789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иной расчет </w:t>
      </w:r>
      <w:r w:rsidRPr="00BC3789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C3789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:rsidR="00243C35" w:rsidRDefault="00243C35" w:rsidP="008F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1.5. </w:t>
      </w:r>
      <w:r w:rsidRPr="00243C35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администратор доходов руководствуется настоящей методикой прогнозирования при подготовке материалов по прогнозированию доходов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33D8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</w:t>
      </w:r>
      <w:r w:rsidRPr="00243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текущем финансовом году, на очередной финансовый год и на плановый период.</w:t>
      </w:r>
    </w:p>
    <w:p w:rsidR="006733D8" w:rsidRDefault="006733D8" w:rsidP="00673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3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формировании уточненного прогноза доходов на текущий финансовый год прогнозирование осуществляется с использованием </w:t>
      </w:r>
      <w:r w:rsidRPr="006733D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уточненных значений показателей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их фактических значений </w:t>
      </w:r>
      <w:r w:rsidRPr="006733D8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истекший период текущего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33D8" w:rsidRDefault="006733D8" w:rsidP="00316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3D8">
        <w:rPr>
          <w:rFonts w:ascii="Times New Roman" w:eastAsia="Times New Roman" w:hAnsi="Times New Roman" w:cs="Times New Roman"/>
          <w:sz w:val="28"/>
          <w:szCs w:val="20"/>
          <w:lang w:eastAsia="ru-RU"/>
        </w:rPr>
        <w:t>1.6. Прогнозирование доходов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города</w:t>
      </w:r>
      <w:r w:rsidRPr="006733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рублях.</w:t>
      </w:r>
    </w:p>
    <w:p w:rsidR="0031638B" w:rsidRDefault="0031638B" w:rsidP="00316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6DAB" w:rsidRDefault="004C76AD" w:rsidP="00655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F0A3E" w:rsidRPr="008F0A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A87" w:rsidRPr="00074A8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Прогнозирование доходов</w:t>
      </w:r>
    </w:p>
    <w:p w:rsidR="00074A87" w:rsidRDefault="00074A87" w:rsidP="00655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18F9" w:rsidRDefault="007C36E0" w:rsidP="000E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</w:t>
      </w:r>
      <w:r w:rsidR="0082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E18F9"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п</w:t>
      </w:r>
      <w:r w:rsid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одразделяются на прогнозируемые </w:t>
      </w:r>
      <w:r w:rsidR="000E18F9"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непрогнозируемые, но фактически поступающие в доход бюджета города.</w:t>
      </w:r>
    </w:p>
    <w:p w:rsidR="000E18F9" w:rsidRDefault="000E18F9" w:rsidP="000E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</w:t>
      </w:r>
      <w:r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состав прогно</w:t>
      </w:r>
      <w:r w:rsidR="00D10FC3">
        <w:rPr>
          <w:rFonts w:ascii="Times New Roman" w:eastAsia="Times New Roman" w:hAnsi="Times New Roman" w:cs="Times New Roman"/>
          <w:sz w:val="28"/>
          <w:szCs w:val="20"/>
          <w:lang w:eastAsia="ru-RU"/>
        </w:rPr>
        <w:t>зируемых доходов включаю</w:t>
      </w:r>
      <w:r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тся:</w:t>
      </w:r>
    </w:p>
    <w:p w:rsidR="000E18F9" w:rsidRDefault="000E18F9" w:rsidP="000E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дорожного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фонда).</w:t>
      </w:r>
    </w:p>
    <w:p w:rsidR="000E18F9" w:rsidRDefault="000E18F9" w:rsidP="000E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</w:t>
      </w:r>
      <w:r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. К непрогнозируемым доходам относятся:</w:t>
      </w:r>
    </w:p>
    <w:p w:rsidR="000E18F9" w:rsidRDefault="000E18F9" w:rsidP="000E1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невыясненные поступления, зачисляемые в бюджеты городских округов.</w:t>
      </w:r>
    </w:p>
    <w:p w:rsidR="008231F3" w:rsidRPr="008231F3" w:rsidRDefault="008231F3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31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Поступления по указанн</w:t>
      </w:r>
      <w:r w:rsid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Pr="0082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доход</w:t>
      </w:r>
      <w:r w:rsid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82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очередной финансовый год и на плановый период п</w:t>
      </w:r>
      <w:r w:rsid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рогнозируются на нулевом уровне, </w:t>
      </w:r>
      <w:r w:rsidR="000E18F9" w:rsidRP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текущий финансовый год – с учетом уточнения платежей за предыдущие отчетные периоды.</w:t>
      </w:r>
    </w:p>
    <w:p w:rsidR="007C36E0" w:rsidRDefault="007C36E0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C36E0">
        <w:t xml:space="preserve"> 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Прогноз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доходам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города,</w:t>
      </w:r>
      <w:r w:rsidR="00074A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уется главным специалистом</w:t>
      </w:r>
      <w:r w:rsidR="00002E7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бухгалтером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главного администратора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доходов.</w:t>
      </w:r>
    </w:p>
    <w:p w:rsidR="007C36E0" w:rsidRDefault="007C36E0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0E18F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Методика прогнозирования поступлений доходов в 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администрируемых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главным администратором доходов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изложе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прилож</w:t>
      </w:r>
      <w:r w:rsidRPr="007C36E0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ении.</w:t>
      </w:r>
    </w:p>
    <w:p w:rsidR="00234308" w:rsidRDefault="00234308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34308" w:rsidSect="002A1569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5F711C" w:rsidRDefault="005F711C" w:rsidP="002A5FA0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D728BF" w:rsidRPr="00D728BF" w:rsidRDefault="00D728BF" w:rsidP="002A5FA0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28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методике прогнозирования </w:t>
      </w:r>
    </w:p>
    <w:p w:rsidR="00D728BF" w:rsidRDefault="00D728BF" w:rsidP="002A5FA0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28B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поступлений доходов в бюджет города</w:t>
      </w:r>
      <w:r w:rsidR="002A5FA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D728BF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Барнау</w:t>
      </w:r>
      <w:r w:rsidR="002A5FA0">
        <w:rPr>
          <w:rFonts w:ascii="Times New Roman" w:eastAsia="Times New Roman" w:hAnsi="Times New Roman" w:cs="Times New Roman"/>
          <w:sz w:val="28"/>
          <w:szCs w:val="20"/>
          <w:lang w:eastAsia="ru-RU"/>
        </w:rPr>
        <w:t>ла,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администрируемых комитетом </w:t>
      </w:r>
      <w:r w:rsidRPr="00D728B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заказа города Барнаула</w:t>
      </w:r>
    </w:p>
    <w:p w:rsidR="00A35A80" w:rsidRDefault="00A35A80" w:rsidP="00A35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A80" w:rsidRPr="00D73E37" w:rsidRDefault="00A35A80" w:rsidP="00A35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A35A80" w:rsidRPr="00D73E37" w:rsidRDefault="00A35A80" w:rsidP="00A35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доходов в бюджет города Барнаула</w:t>
      </w:r>
      <w:r>
        <w:t xml:space="preserve">, </w:t>
      </w:r>
      <w:r w:rsidRPr="00D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администрируемых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муниципального заказа города Барнаула</w:t>
      </w:r>
    </w:p>
    <w:p w:rsidR="00B9607F" w:rsidRDefault="00B9607F" w:rsidP="002A5FA0">
      <w:pPr>
        <w:widowControl w:val="0"/>
        <w:autoSpaceDE w:val="0"/>
        <w:autoSpaceDN w:val="0"/>
        <w:adjustRightInd w:val="0"/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141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4"/>
        <w:gridCol w:w="1821"/>
        <w:gridCol w:w="1842"/>
        <w:gridCol w:w="1701"/>
        <w:gridCol w:w="1925"/>
        <w:gridCol w:w="1619"/>
        <w:gridCol w:w="1134"/>
        <w:gridCol w:w="1843"/>
        <w:gridCol w:w="1849"/>
      </w:tblGrid>
      <w:tr w:rsidR="00B9607F" w:rsidRPr="00234308" w:rsidTr="009449CB">
        <w:trPr>
          <w:trHeight w:val="9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№</w:t>
            </w:r>
          </w:p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34308">
              <w:rPr>
                <w:rFonts w:ascii="Times New Roman" w:hAnsi="Times New Roman"/>
              </w:rPr>
              <w:t>п</w:t>
            </w:r>
            <w:proofErr w:type="gramEnd"/>
            <w:r w:rsidRPr="00234308">
              <w:rPr>
                <w:rFonts w:ascii="Times New Roman" w:hAnsi="Times New Roman"/>
              </w:rPr>
              <w:t>/п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Код главного администратора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Наименование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КБК</w:t>
            </w:r>
            <w:r w:rsidR="0021649A">
              <w:rPr>
                <w:rStyle w:val="ad"/>
                <w:rFonts w:ascii="Times New Roman" w:hAnsi="Times New Roman"/>
              </w:rPr>
              <w:footnoteReference w:id="1"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Наименование КБК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Наименование метода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Формула 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Алгоритм расчета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07F" w:rsidRPr="00234308" w:rsidRDefault="00B9607F" w:rsidP="001A03FC">
            <w:pPr>
              <w:jc w:val="center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Описание показателей</w:t>
            </w:r>
          </w:p>
        </w:tc>
      </w:tr>
    </w:tbl>
    <w:p w:rsidR="00B9607F" w:rsidRDefault="00B9607F" w:rsidP="00041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141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4"/>
        <w:gridCol w:w="1821"/>
        <w:gridCol w:w="1842"/>
        <w:gridCol w:w="1701"/>
        <w:gridCol w:w="1925"/>
        <w:gridCol w:w="1619"/>
        <w:gridCol w:w="1134"/>
        <w:gridCol w:w="1843"/>
        <w:gridCol w:w="1849"/>
      </w:tblGrid>
      <w:tr w:rsidR="00B9607F" w:rsidRPr="00234308" w:rsidTr="0021649A">
        <w:trPr>
          <w:trHeight w:val="68"/>
          <w:tblHeader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Pr="00234308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7F" w:rsidRDefault="00B9607F" w:rsidP="00B960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E1395" w:rsidRPr="00234308" w:rsidTr="0021649A">
        <w:trPr>
          <w:trHeight w:val="186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8" w:rsidRPr="00234308" w:rsidRDefault="00234308" w:rsidP="009E1395">
            <w:pPr>
              <w:jc w:val="both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8" w:rsidRPr="00234308" w:rsidRDefault="00234308" w:rsidP="009E1395">
            <w:pPr>
              <w:jc w:val="both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909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8" w:rsidRPr="00234308" w:rsidRDefault="00234308" w:rsidP="009E1395">
            <w:pPr>
              <w:jc w:val="both"/>
              <w:rPr>
                <w:rFonts w:ascii="Times New Roman" w:hAnsi="Times New Roman"/>
              </w:rPr>
            </w:pPr>
            <w:r w:rsidRPr="00234308">
              <w:rPr>
                <w:rFonts w:ascii="Times New Roman" w:hAnsi="Times New Roman"/>
              </w:rPr>
              <w:t>Комитет муниципального заказа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8" w:rsidRPr="00234308" w:rsidRDefault="009E1395" w:rsidP="009E13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11610061040000</w:t>
            </w:r>
            <w:r w:rsidR="00234308" w:rsidRPr="00234308">
              <w:rPr>
                <w:rFonts w:ascii="Times New Roman" w:hAnsi="Times New Roman"/>
              </w:rPr>
              <w:t>140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8" w:rsidRPr="00234308" w:rsidRDefault="00234308" w:rsidP="009E1395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34308"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</w:t>
            </w:r>
            <w:r w:rsidRPr="00234308">
              <w:rPr>
                <w:rFonts w:ascii="Times New Roman" w:hAnsi="Times New Roman"/>
              </w:rPr>
              <w:lastRenderedPageBreak/>
              <w:t>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34308">
              <w:rPr>
                <w:rFonts w:ascii="Times New Roman" w:hAnsi="Times New Roman"/>
              </w:rPr>
              <w:t xml:space="preserve"> фонда)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308" w:rsidRPr="00234308" w:rsidRDefault="00074A87" w:rsidP="009E1395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lastRenderedPageBreak/>
              <w:t>Метод прямого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08" w:rsidRPr="00D10DC5" w:rsidRDefault="00D10DC5" w:rsidP="009E1395">
            <w:pPr>
              <w:jc w:val="both"/>
              <w:rPr>
                <w:rFonts w:ascii="Times New Roman" w:hAnsi="Times New Roman"/>
              </w:rPr>
            </w:pPr>
            <w:r w:rsidRPr="00D10DC5">
              <w:rPr>
                <w:rFonts w:ascii="Times New Roman" w:hAnsi="Times New Roman"/>
                <w:color w:val="000000"/>
                <w:shd w:val="clear" w:color="auto" w:fill="FFFFFF"/>
              </w:rPr>
              <w:t>Дшкс</w:t>
            </w:r>
            <w:r w:rsidR="00074A87" w:rsidRPr="00D10DC5">
              <w:rPr>
                <w:rFonts w:ascii="Times New Roman" w:hAnsi="Times New Roman"/>
                <w:vertAlign w:val="subscript"/>
              </w:rPr>
              <w:t xml:space="preserve"> </w:t>
            </w:r>
            <w:r w:rsidR="00074A87" w:rsidRPr="00D10DC5">
              <w:rPr>
                <w:rFonts w:ascii="Times New Roman" w:hAnsi="Times New Roman"/>
              </w:rPr>
              <w:t xml:space="preserve">= </w:t>
            </w:r>
            <w:r w:rsidRPr="00D10DC5">
              <w:rPr>
                <w:rFonts w:ascii="Times New Roman" w:hAnsi="Times New Roman"/>
                <w:color w:val="000000"/>
                <w:shd w:val="clear" w:color="auto" w:fill="FFFFFF"/>
              </w:rPr>
              <w:t>Зшкс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 xml:space="preserve">Поступление указанных доходов носит непостоянный (разовый) характер, при расчете учитывается только </w:t>
            </w:r>
            <w:r w:rsidR="007F1A58">
              <w:rPr>
                <w:rFonts w:ascii="Times New Roman" w:hAnsi="Times New Roman"/>
              </w:rPr>
              <w:t>ожидаемая</w:t>
            </w:r>
            <w:r w:rsidRPr="00074A87">
              <w:rPr>
                <w:rFonts w:ascii="Times New Roman" w:hAnsi="Times New Roman"/>
              </w:rPr>
              <w:t xml:space="preserve"> сумма поступления дебиторской задолженности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lastRenderedPageBreak/>
              <w:t xml:space="preserve">по данному коду бюджетной классификации, </w:t>
            </w:r>
            <w:proofErr w:type="gramStart"/>
            <w:r w:rsidRPr="00074A87">
              <w:rPr>
                <w:rFonts w:ascii="Times New Roman" w:hAnsi="Times New Roman"/>
              </w:rPr>
              <w:t>взыскиваемая</w:t>
            </w:r>
            <w:proofErr w:type="gramEnd"/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74A87">
              <w:rPr>
                <w:rFonts w:ascii="Times New Roman" w:hAnsi="Times New Roman"/>
              </w:rPr>
              <w:t>по исполнительным листам, мировым соглашениям (далее – дебиторская задолженность</w:t>
            </w:r>
            <w:proofErr w:type="gramEnd"/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по доходам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от возмещения убытков, причиненных уклонением</w:t>
            </w:r>
          </w:p>
          <w:p w:rsidR="00234308" w:rsidRPr="00234308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от заключения муниципального контракта)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87" w:rsidRPr="00074A87" w:rsidRDefault="00D10DC5" w:rsidP="00074A87">
            <w:pPr>
              <w:jc w:val="both"/>
              <w:rPr>
                <w:rFonts w:ascii="Times New Roman" w:hAnsi="Times New Roman"/>
              </w:rPr>
            </w:pPr>
            <w:r w:rsidRPr="00D10DC5">
              <w:rPr>
                <w:rFonts w:ascii="Times New Roman" w:hAnsi="Times New Roman"/>
              </w:rPr>
              <w:lastRenderedPageBreak/>
              <w:t>Дшкс</w:t>
            </w:r>
            <w:r w:rsidR="00074A87" w:rsidRPr="00074A87">
              <w:rPr>
                <w:rFonts w:ascii="Times New Roman" w:hAnsi="Times New Roman"/>
              </w:rPr>
              <w:t xml:space="preserve"> – прогнозный объем поступления в расчетном году доходов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от возмещения убытков, причиненных уклонением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от заключения муниципального контракта;</w:t>
            </w:r>
          </w:p>
          <w:p w:rsidR="00074A87" w:rsidRPr="00074A87" w:rsidRDefault="00D10DC5" w:rsidP="00074A8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10DC5">
              <w:rPr>
                <w:rFonts w:ascii="Times New Roman" w:hAnsi="Times New Roman"/>
              </w:rPr>
              <w:t>Зшкс</w:t>
            </w:r>
            <w:proofErr w:type="spellEnd"/>
            <w:r w:rsidR="00074A87" w:rsidRPr="00074A87">
              <w:rPr>
                <w:rFonts w:ascii="Times New Roman" w:hAnsi="Times New Roman"/>
              </w:rPr>
              <w:t xml:space="preserve"> – </w:t>
            </w:r>
            <w:r w:rsidR="00A35A80">
              <w:rPr>
                <w:rFonts w:ascii="Times New Roman" w:hAnsi="Times New Roman"/>
              </w:rPr>
              <w:lastRenderedPageBreak/>
              <w:t>ожидаемая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в расчетном году сумма поступления дебиторской задолженности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по доходам</w:t>
            </w:r>
          </w:p>
          <w:p w:rsidR="00074A87" w:rsidRPr="00074A87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от возмещения убытков, причиненных уклонением</w:t>
            </w:r>
          </w:p>
          <w:p w:rsidR="00234308" w:rsidRPr="00234308" w:rsidRDefault="00074A87" w:rsidP="00074A87">
            <w:pPr>
              <w:jc w:val="both"/>
              <w:rPr>
                <w:rFonts w:ascii="Times New Roman" w:hAnsi="Times New Roman"/>
              </w:rPr>
            </w:pPr>
            <w:r w:rsidRPr="00074A87">
              <w:rPr>
                <w:rFonts w:ascii="Times New Roman" w:hAnsi="Times New Roman"/>
              </w:rPr>
              <w:t>от заключения муниципального контракта</w:t>
            </w:r>
          </w:p>
        </w:tc>
      </w:tr>
      <w:tr w:rsidR="009E1395" w:rsidRPr="00234308" w:rsidTr="009449CB">
        <w:trPr>
          <w:trHeight w:val="13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9E1395" w:rsidP="009E13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9E1395" w:rsidP="009E1395">
            <w:pPr>
              <w:jc w:val="both"/>
              <w:rPr>
                <w:rFonts w:ascii="Times New Roman" w:hAnsi="Times New Roman"/>
              </w:rPr>
            </w:pPr>
            <w:r w:rsidRPr="009E1395">
              <w:rPr>
                <w:rFonts w:ascii="Times New Roman" w:hAnsi="Times New Roman"/>
              </w:rPr>
              <w:t>909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A35A80" w:rsidP="009E1395">
            <w:pPr>
              <w:jc w:val="both"/>
              <w:rPr>
                <w:rFonts w:ascii="Times New Roman" w:hAnsi="Times New Roman"/>
              </w:rPr>
            </w:pPr>
            <w:r w:rsidRPr="00A35A80">
              <w:rPr>
                <w:rFonts w:ascii="Times New Roman" w:hAnsi="Times New Roman"/>
              </w:rPr>
              <w:t>Комитет муниципального заказа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9E1395" w:rsidP="009E13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11701040040000</w:t>
            </w:r>
            <w:r w:rsidRPr="009E1395">
              <w:rPr>
                <w:rFonts w:ascii="Times New Roman" w:hAnsi="Times New Roman"/>
              </w:rPr>
              <w:t>180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802925" w:rsidP="009E1395">
            <w:pPr>
              <w:jc w:val="both"/>
              <w:rPr>
                <w:rFonts w:ascii="Times New Roman" w:hAnsi="Times New Roman"/>
              </w:rPr>
            </w:pPr>
            <w:r w:rsidRPr="00802925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BC3789" w:rsidP="009E1395">
            <w:pPr>
              <w:jc w:val="both"/>
              <w:rPr>
                <w:rFonts w:ascii="Times New Roman" w:hAnsi="Times New Roman"/>
              </w:rPr>
            </w:pPr>
            <w:r w:rsidRPr="00BC3789">
              <w:rPr>
                <w:rFonts w:ascii="Times New Roman" w:hAnsi="Times New Roman"/>
              </w:rPr>
              <w:t>Иной расчет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9E1395" w:rsidP="009E139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Pr="00234308" w:rsidRDefault="00BC3789" w:rsidP="009E1395">
            <w:pPr>
              <w:jc w:val="both"/>
              <w:rPr>
                <w:rFonts w:ascii="Times New Roman" w:hAnsi="Times New Roman"/>
              </w:rPr>
            </w:pPr>
            <w:r w:rsidRPr="00BC3789">
              <w:rPr>
                <w:rFonts w:ascii="Times New Roman" w:hAnsi="Times New Roman"/>
              </w:rPr>
              <w:t xml:space="preserve">Данный код дохода предусмотрен для зачисления платежей, в которых неверно указаны (не </w:t>
            </w:r>
            <w:r w:rsidRPr="00BC3789">
              <w:rPr>
                <w:rFonts w:ascii="Times New Roman" w:hAnsi="Times New Roman"/>
              </w:rPr>
              <w:lastRenderedPageBreak/>
              <w:t>указаны) реквизиты платежа и которые подлежат уточнению по соответствующему коду дохода. На очередной финансовый год и на плановый период не прогнозируются, уточненный прогноз на текущий финансовый год формируется с учетом уточнения платежей</w:t>
            </w:r>
            <w:r>
              <w:rPr>
                <w:rFonts w:ascii="Times New Roman" w:hAnsi="Times New Roman"/>
              </w:rPr>
              <w:t xml:space="preserve"> за предыдущие отчетные периоды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95" w:rsidRDefault="00BC3789" w:rsidP="009E1395">
            <w:pPr>
              <w:jc w:val="both"/>
              <w:rPr>
                <w:rFonts w:ascii="Times New Roman" w:hAnsi="Times New Roman"/>
              </w:rPr>
            </w:pPr>
            <w:r w:rsidRPr="00BC3789">
              <w:rPr>
                <w:rFonts w:ascii="Times New Roman" w:hAnsi="Times New Roman"/>
              </w:rPr>
              <w:lastRenderedPageBreak/>
              <w:t>Источник данных - бюджетная отчетность комитета</w:t>
            </w:r>
            <w:r>
              <w:rPr>
                <w:rFonts w:ascii="Times New Roman" w:hAnsi="Times New Roman"/>
              </w:rPr>
              <w:t xml:space="preserve"> муниципального заказа города </w:t>
            </w:r>
            <w:r>
              <w:rPr>
                <w:rFonts w:ascii="Times New Roman" w:hAnsi="Times New Roman"/>
              </w:rPr>
              <w:lastRenderedPageBreak/>
              <w:t>Барнаула</w:t>
            </w:r>
          </w:p>
        </w:tc>
      </w:tr>
    </w:tbl>
    <w:p w:rsidR="00AE6DAB" w:rsidRDefault="00AE6DAB" w:rsidP="00B96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5F6F" w:rsidRPr="005A6D2D" w:rsidRDefault="000A5F6F" w:rsidP="007278A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0A5F6F" w:rsidRPr="005A6D2D" w:rsidSect="005A6D2D">
      <w:headerReference w:type="default" r:id="rId11"/>
      <w:pgSz w:w="16838" w:h="11906" w:orient="landscape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D6" w:rsidRDefault="00FC67D6" w:rsidP="00D728BF">
      <w:pPr>
        <w:spacing w:after="0" w:line="240" w:lineRule="auto"/>
      </w:pPr>
      <w:r>
        <w:separator/>
      </w:r>
    </w:p>
  </w:endnote>
  <w:endnote w:type="continuationSeparator" w:id="0">
    <w:p w:rsidR="00FC67D6" w:rsidRDefault="00FC67D6" w:rsidP="00D7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D6" w:rsidRDefault="00FC67D6" w:rsidP="00D728BF">
      <w:pPr>
        <w:spacing w:after="0" w:line="240" w:lineRule="auto"/>
      </w:pPr>
      <w:r>
        <w:separator/>
      </w:r>
    </w:p>
  </w:footnote>
  <w:footnote w:type="continuationSeparator" w:id="0">
    <w:p w:rsidR="00FC67D6" w:rsidRDefault="00FC67D6" w:rsidP="00D728BF">
      <w:pPr>
        <w:spacing w:after="0" w:line="240" w:lineRule="auto"/>
      </w:pPr>
      <w:r>
        <w:continuationSeparator/>
      </w:r>
    </w:p>
  </w:footnote>
  <w:footnote w:id="1">
    <w:p w:rsidR="0021649A" w:rsidRPr="00E2515A" w:rsidRDefault="0021649A">
      <w:pPr>
        <w:pStyle w:val="ab"/>
        <w:rPr>
          <w:rFonts w:ascii="Times New Roman" w:hAnsi="Times New Roman" w:cs="Times New Roman"/>
          <w:sz w:val="28"/>
          <w:szCs w:val="28"/>
        </w:rPr>
      </w:pPr>
      <w:r w:rsidRPr="00E2515A">
        <w:rPr>
          <w:rStyle w:val="ad"/>
          <w:rFonts w:ascii="Times New Roman" w:hAnsi="Times New Roman" w:cs="Times New Roman"/>
          <w:sz w:val="28"/>
          <w:szCs w:val="28"/>
        </w:rPr>
        <w:footnoteRef/>
      </w:r>
      <w:r w:rsidRPr="00E2515A">
        <w:rPr>
          <w:rFonts w:ascii="Times New Roman" w:hAnsi="Times New Roman" w:cs="Times New Roman"/>
          <w:sz w:val="28"/>
          <w:szCs w:val="28"/>
        </w:rPr>
        <w:t xml:space="preserve"> </w:t>
      </w:r>
      <w:r w:rsidR="00E2515A" w:rsidRPr="00E2515A">
        <w:rPr>
          <w:rFonts w:ascii="Times New Roman" w:hAnsi="Times New Roman" w:cs="Times New Roman"/>
          <w:sz w:val="28"/>
          <w:szCs w:val="28"/>
        </w:rPr>
        <w:t>КБК - к</w:t>
      </w:r>
      <w:r w:rsidRPr="00E2515A">
        <w:rPr>
          <w:rFonts w:ascii="Times New Roman" w:hAnsi="Times New Roman" w:cs="Times New Roman"/>
          <w:sz w:val="28"/>
          <w:szCs w:val="28"/>
        </w:rPr>
        <w:t>од бюджетной классификации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2D" w:rsidRPr="005A6D2D" w:rsidRDefault="007278A8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2A1569" w:rsidRDefault="002A15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8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1569" w:rsidRPr="002A1569" w:rsidRDefault="002A1569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A15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A15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5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15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1569" w:rsidRDefault="002A15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69" w:rsidRPr="002A1569" w:rsidRDefault="002A1569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2A1569" w:rsidRDefault="002A156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69" w:rsidRPr="002A1569" w:rsidRDefault="002A1569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2A1569" w:rsidRDefault="002A15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10"/>
    <w:rsid w:val="00002E72"/>
    <w:rsid w:val="00013CD0"/>
    <w:rsid w:val="000403AC"/>
    <w:rsid w:val="000415AC"/>
    <w:rsid w:val="00044053"/>
    <w:rsid w:val="000678EE"/>
    <w:rsid w:val="00074A87"/>
    <w:rsid w:val="00080514"/>
    <w:rsid w:val="00085780"/>
    <w:rsid w:val="000A5C5D"/>
    <w:rsid w:val="000A5F6F"/>
    <w:rsid w:val="000C1A77"/>
    <w:rsid w:val="000E18F9"/>
    <w:rsid w:val="001243E0"/>
    <w:rsid w:val="00172230"/>
    <w:rsid w:val="001E6FE6"/>
    <w:rsid w:val="0021649A"/>
    <w:rsid w:val="00234308"/>
    <w:rsid w:val="00243C35"/>
    <w:rsid w:val="002A1569"/>
    <w:rsid w:val="002A5FA0"/>
    <w:rsid w:val="002B2A90"/>
    <w:rsid w:val="002D0BA9"/>
    <w:rsid w:val="002D7EDE"/>
    <w:rsid w:val="002F1741"/>
    <w:rsid w:val="0031638B"/>
    <w:rsid w:val="003B3096"/>
    <w:rsid w:val="00472968"/>
    <w:rsid w:val="004A606C"/>
    <w:rsid w:val="004C76AD"/>
    <w:rsid w:val="0050007C"/>
    <w:rsid w:val="00533EFD"/>
    <w:rsid w:val="00541992"/>
    <w:rsid w:val="005A6D2D"/>
    <w:rsid w:val="005D4801"/>
    <w:rsid w:val="005F711C"/>
    <w:rsid w:val="00611752"/>
    <w:rsid w:val="0061552F"/>
    <w:rsid w:val="00622032"/>
    <w:rsid w:val="00655AFF"/>
    <w:rsid w:val="006733D8"/>
    <w:rsid w:val="006E7EF1"/>
    <w:rsid w:val="007278A8"/>
    <w:rsid w:val="007B4C22"/>
    <w:rsid w:val="007C36E0"/>
    <w:rsid w:val="007F1A58"/>
    <w:rsid w:val="00802925"/>
    <w:rsid w:val="008231F3"/>
    <w:rsid w:val="0082631B"/>
    <w:rsid w:val="008713C7"/>
    <w:rsid w:val="008F0A3E"/>
    <w:rsid w:val="009449CB"/>
    <w:rsid w:val="009A4A1F"/>
    <w:rsid w:val="009E1395"/>
    <w:rsid w:val="009F57FC"/>
    <w:rsid w:val="00A35A80"/>
    <w:rsid w:val="00A9736F"/>
    <w:rsid w:val="00AE4804"/>
    <w:rsid w:val="00AE6DAB"/>
    <w:rsid w:val="00B32957"/>
    <w:rsid w:val="00B9607F"/>
    <w:rsid w:val="00BB7E87"/>
    <w:rsid w:val="00BC3789"/>
    <w:rsid w:val="00C10054"/>
    <w:rsid w:val="00C333B3"/>
    <w:rsid w:val="00C40024"/>
    <w:rsid w:val="00C65C84"/>
    <w:rsid w:val="00D10DC5"/>
    <w:rsid w:val="00D10FC3"/>
    <w:rsid w:val="00D53D10"/>
    <w:rsid w:val="00D728BF"/>
    <w:rsid w:val="00D73D07"/>
    <w:rsid w:val="00D73E37"/>
    <w:rsid w:val="00DB3DC5"/>
    <w:rsid w:val="00DC2E2C"/>
    <w:rsid w:val="00DC4266"/>
    <w:rsid w:val="00E2515A"/>
    <w:rsid w:val="00F21A99"/>
    <w:rsid w:val="00F37562"/>
    <w:rsid w:val="00FA4A5B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343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8BF"/>
  </w:style>
  <w:style w:type="paragraph" w:styleId="a8">
    <w:name w:val="footer"/>
    <w:basedOn w:val="a"/>
    <w:link w:val="a9"/>
    <w:uiPriority w:val="99"/>
    <w:unhideWhenUsed/>
    <w:rsid w:val="00D7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8BF"/>
  </w:style>
  <w:style w:type="paragraph" w:styleId="aa">
    <w:name w:val="List Paragraph"/>
    <w:basedOn w:val="a"/>
    <w:uiPriority w:val="34"/>
    <w:qFormat/>
    <w:rsid w:val="00533EF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C37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378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37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343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8BF"/>
  </w:style>
  <w:style w:type="paragraph" w:styleId="a8">
    <w:name w:val="footer"/>
    <w:basedOn w:val="a"/>
    <w:link w:val="a9"/>
    <w:uiPriority w:val="99"/>
    <w:unhideWhenUsed/>
    <w:rsid w:val="00D7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8BF"/>
  </w:style>
  <w:style w:type="paragraph" w:styleId="aa">
    <w:name w:val="List Paragraph"/>
    <w:basedOn w:val="a"/>
    <w:uiPriority w:val="34"/>
    <w:qFormat/>
    <w:rsid w:val="00533EF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C37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C378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C3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EEA2-C0B8-467E-9961-8F95BA5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О. Кошелева</dc:creator>
  <cp:keywords/>
  <dc:description/>
  <cp:lastModifiedBy>А.В.Карташов</cp:lastModifiedBy>
  <cp:revision>45</cp:revision>
  <cp:lastPrinted>2022-07-13T06:15:00Z</cp:lastPrinted>
  <dcterms:created xsi:type="dcterms:W3CDTF">2022-05-26T02:12:00Z</dcterms:created>
  <dcterms:modified xsi:type="dcterms:W3CDTF">2022-07-15T07:13:00Z</dcterms:modified>
</cp:coreProperties>
</file>