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37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7A4BB0" w:rsidRPr="009D6F3C" w:rsidTr="00A81D12">
        <w:trPr>
          <w:trHeight w:val="1066"/>
        </w:trPr>
        <w:tc>
          <w:tcPr>
            <w:tcW w:w="4077" w:type="dxa"/>
            <w:shd w:val="clear" w:color="auto" w:fill="FFFFFF"/>
          </w:tcPr>
          <w:p w:rsidR="007A4BB0" w:rsidRPr="00A81D12" w:rsidRDefault="000779B3" w:rsidP="00A81D12">
            <w:pPr>
              <w:tabs>
                <w:tab w:val="left" w:pos="10065"/>
              </w:tabs>
              <w:spacing w:before="0"/>
              <w:ind w:right="-17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t xml:space="preserve"> 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>к Положению об обеспече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 безопасности общедоступной информации</w:t>
            </w:r>
            <w:r w:rsid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>
              <w:rPr>
                <w:rFonts w:hint="eastAsia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системах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="009A6D0F" w:rsidRPr="009A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D0F" w:rsidRPr="009A6D0F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</w:tc>
      </w:tr>
    </w:tbl>
    <w:p w:rsidR="00650EFD" w:rsidRDefault="00650EFD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</w:p>
    <w:p w:rsidR="00650EFD" w:rsidRDefault="00650EFD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650EFD" w:rsidRDefault="00650EFD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650EFD" w:rsidRDefault="00650EFD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650EFD" w:rsidRDefault="00650EFD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9A6D0F" w:rsidRDefault="009A6D0F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9A6D0F" w:rsidRDefault="009A6D0F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9A6D0F" w:rsidRDefault="009A6D0F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9A6D0F" w:rsidRDefault="009A6D0F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</w:p>
    <w:p w:rsidR="007A4BB0" w:rsidRDefault="00A676A1" w:rsidP="00650EFD">
      <w:pPr>
        <w:tabs>
          <w:tab w:val="left" w:pos="10065"/>
        </w:tabs>
        <w:spacing w:before="0"/>
        <w:ind w:right="142"/>
        <w:jc w:val="center"/>
        <w:rPr>
          <w:rFonts w:ascii="Times New Roman" w:hAnsi="Times New Roman"/>
          <w:caps/>
          <w:sz w:val="28"/>
          <w:szCs w:val="32"/>
        </w:rPr>
      </w:pPr>
      <w:bookmarkStart w:id="3" w:name="_GoBack"/>
      <w:bookmarkEnd w:id="3"/>
      <w:r>
        <w:rPr>
          <w:rFonts w:ascii="Times New Roman" w:hAnsi="Times New Roman"/>
          <w:caps/>
          <w:sz w:val="28"/>
          <w:szCs w:val="32"/>
        </w:rPr>
        <w:t>ПОРЯДОК</w:t>
      </w:r>
    </w:p>
    <w:p w:rsidR="007A4BB0" w:rsidRDefault="00A676A1">
      <w:pPr>
        <w:tabs>
          <w:tab w:val="left" w:pos="10065"/>
        </w:tabs>
        <w:spacing w:before="0" w:after="480"/>
        <w:ind w:right="140" w:firstLine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технического обслуживания, ремонта, модернизации технических средств, входящих в состав информационных систем </w:t>
      </w:r>
      <w:r w:rsidR="00BD50D9">
        <w:rPr>
          <w:rFonts w:ascii="Times New Roman" w:hAnsi="Times New Roman"/>
          <w:sz w:val="28"/>
          <w:szCs w:val="32"/>
        </w:rPr>
        <w:t>комитета по финансам, налоговой и кредитной политике</w:t>
      </w:r>
      <w:r>
        <w:rPr>
          <w:rFonts w:ascii="Times New Roman" w:hAnsi="Times New Roman"/>
          <w:sz w:val="28"/>
          <w:szCs w:val="32"/>
        </w:rPr>
        <w:t xml:space="preserve"> города Барнаула</w:t>
      </w:r>
    </w:p>
    <w:p w:rsidR="007A4BB0" w:rsidRDefault="00A676A1" w:rsidP="00581E45">
      <w:pPr>
        <w:pStyle w:val="1"/>
        <w:numPr>
          <w:ilvl w:val="0"/>
          <w:numId w:val="7"/>
        </w:numPr>
        <w:tabs>
          <w:tab w:val="left" w:pos="9923"/>
        </w:tabs>
        <w:spacing w:after="240" w:line="360" w:lineRule="auto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>Перечень используемых определений, обозначений и сокращений</w:t>
      </w:r>
    </w:p>
    <w:p w:rsidR="007A4BB0" w:rsidRDefault="00A676A1">
      <w:pPr>
        <w:tabs>
          <w:tab w:val="left" w:pos="7680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АИБ – администратор информационной безопасности.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 – автоматизированное рабочее место.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 – автоматизированная система.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АСО – активное сетевое оборудование.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АЭД – архив эталонных дистрибутивов.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 – информационная безопасность.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информационная система.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 (IT) – информационные технологии.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 – конфиденциальная информация.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 – корпоративная информационная система.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ЛВС – локальная вычислительная сеть.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НЖМД – накопитель на жёстких магнитных дисках.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НСД – несанкционированный доступ.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– персональный компьютер.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– программное обеспечение.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ПЭВМ – персональная электронная вычислительная машина.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 – служба безопасности.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СВТ – средства вычислительной техники.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СЗИ – средства защиты информации.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СУБД – система управления базами данных.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ФСТЭК – Федеральная служба по техническому и экспортному контролю.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proofErr w:type="gramStart"/>
      <w:r>
        <w:rPr>
          <w:rFonts w:ascii="Times New Roman" w:hAnsi="Times New Roman"/>
          <w:sz w:val="28"/>
          <w:szCs w:val="28"/>
        </w:rPr>
        <w:t>Д–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эксплуатационная документация.</w:t>
      </w:r>
    </w:p>
    <w:p w:rsidR="00C80523" w:rsidRDefault="00C80523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</w:p>
    <w:p w:rsidR="007A4BB0" w:rsidRDefault="00A676A1">
      <w:pPr>
        <w:tabs>
          <w:tab w:val="left" w:pos="10065"/>
        </w:tabs>
        <w:spacing w:before="0"/>
        <w:ind w:righ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 информационной безопасности –</w:t>
      </w:r>
      <w:r w:rsidR="00C80523">
        <w:rPr>
          <w:rFonts w:ascii="Times New Roman" w:hAnsi="Times New Roman"/>
          <w:sz w:val="28"/>
          <w:szCs w:val="28"/>
        </w:rPr>
        <w:t xml:space="preserve"> </w:t>
      </w:r>
      <w:r w:rsidR="00C80523" w:rsidRPr="002C0BB5">
        <w:rPr>
          <w:rFonts w:ascii="Times New Roman" w:hAnsi="Times New Roman"/>
          <w:sz w:val="28"/>
          <w:szCs w:val="24"/>
        </w:rPr>
        <w:t xml:space="preserve">специалист </w:t>
      </w:r>
      <w:r w:rsidR="00C80523">
        <w:rPr>
          <w:rFonts w:ascii="Times New Roman" w:hAnsi="Times New Roman"/>
          <w:sz w:val="28"/>
          <w:szCs w:val="24"/>
        </w:rPr>
        <w:t>отдела внедрения автоматизированных систем финансовых расчетов</w:t>
      </w:r>
      <w:r w:rsidR="00283198">
        <w:rPr>
          <w:rFonts w:ascii="Times New Roman" w:hAnsi="Times New Roman"/>
          <w:sz w:val="28"/>
          <w:szCs w:val="28"/>
        </w:rPr>
        <w:t>, 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защиты информа</w:t>
      </w:r>
      <w:r w:rsidR="00283198">
        <w:rPr>
          <w:rFonts w:ascii="Times New Roman" w:hAnsi="Times New Roman"/>
          <w:sz w:val="28"/>
          <w:szCs w:val="28"/>
        </w:rPr>
        <w:t>ции в ИС, а также осуществляющий</w:t>
      </w:r>
      <w:r>
        <w:rPr>
          <w:rFonts w:ascii="Times New Roman" w:hAnsi="Times New Roman"/>
          <w:sz w:val="28"/>
          <w:szCs w:val="28"/>
        </w:rPr>
        <w:t xml:space="preserve"> организацию работ по выявлению и </w:t>
      </w:r>
      <w:r>
        <w:rPr>
          <w:rFonts w:ascii="Times New Roman" w:hAnsi="Times New Roman"/>
          <w:sz w:val="28"/>
          <w:szCs w:val="28"/>
        </w:rPr>
        <w:lastRenderedPageBreak/>
        <w:t>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7A4BB0" w:rsidRDefault="00A676A1" w:rsidP="00581E45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</w:pPr>
      <w:r>
        <w:t>Общие положения</w:t>
      </w:r>
    </w:p>
    <w:p w:rsidR="007A4BB0" w:rsidRDefault="00581E45">
      <w:pPr>
        <w:pStyle w:val="22"/>
        <w:numPr>
          <w:ilvl w:val="1"/>
          <w:numId w:val="7"/>
        </w:numPr>
        <w:tabs>
          <w:tab w:val="left" w:pos="10065"/>
        </w:tabs>
      </w:pPr>
      <w:proofErr w:type="gramStart"/>
      <w:r>
        <w:t>Настоящий П</w:t>
      </w:r>
      <w:r w:rsidR="00A676A1">
        <w:t xml:space="preserve">орядок регламентирует взаимодействие сотрудников </w:t>
      </w:r>
      <w:r w:rsidR="00BD50D9">
        <w:t>комитета по финансам, налоговой и кредитной политике</w:t>
      </w:r>
      <w:r w:rsidR="00A676A1">
        <w:t xml:space="preserve"> города Барнаула</w:t>
      </w:r>
      <w:r w:rsidR="00A676A1">
        <w:rPr>
          <w:sz w:val="32"/>
        </w:rPr>
        <w:t xml:space="preserve"> </w:t>
      </w:r>
      <w:r w:rsidR="00A676A1">
        <w:t>по вопросам обеспечения безопасности в информационных систем</w:t>
      </w:r>
      <w:r>
        <w:t>ах</w:t>
      </w:r>
      <w:r w:rsidR="00A676A1">
        <w:t xml:space="preserve"> общего пользования, государственных информационных систем</w:t>
      </w:r>
      <w:r>
        <w:t>ах</w:t>
      </w:r>
      <w:r w:rsidR="00A676A1">
        <w:t xml:space="preserve">, </w:t>
      </w:r>
      <w:r>
        <w:t xml:space="preserve">муниципальных информационных системах, </w:t>
      </w:r>
      <w:r w:rsidR="00A676A1">
        <w:t>информационных систем</w:t>
      </w:r>
      <w:r>
        <w:t>ах</w:t>
      </w:r>
      <w:r w:rsidR="00A676A1">
        <w:t xml:space="preserve"> персональных данных, информационных систем</w:t>
      </w:r>
      <w:r>
        <w:t>ах</w:t>
      </w:r>
      <w:r w:rsidR="00A676A1">
        <w:t>, содержащих другие виды конфиденциальной информации, за исключением систем, содержащих сведения, составляющие государственную тайну, и систем, относящихся к ключевым системах информационной инфраструктуры (далее по тексту – ИС</w:t>
      </w:r>
      <w:proofErr w:type="gramEnd"/>
      <w:r w:rsidR="00A676A1">
        <w:t xml:space="preserve">, защищаемые информационные ресурсы) при проведении модификаций </w:t>
      </w:r>
      <w:proofErr w:type="gramStart"/>
      <w:r w:rsidR="00A676A1">
        <w:t>ПО</w:t>
      </w:r>
      <w:proofErr w:type="gramEnd"/>
      <w:r w:rsidR="00A676A1">
        <w:t xml:space="preserve">, </w:t>
      </w:r>
      <w:proofErr w:type="gramStart"/>
      <w:r w:rsidR="00A676A1">
        <w:t>технического</w:t>
      </w:r>
      <w:proofErr w:type="gramEnd"/>
      <w:r w:rsidR="00A676A1">
        <w:t xml:space="preserve"> обслуживания СВТ и при возникновении нештатных ситуаций в работе ИС.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Под техническим обслуживанием</w:t>
      </w:r>
      <w:r w:rsidR="00283198">
        <w:t xml:space="preserve"> (далее – ТО)</w:t>
      </w:r>
      <w:r>
        <w:t xml:space="preserve"> в данном документе понимается комплекс операций по поддержанию работоспособности или исправности оборудования при использовании по назначению, ожидании, хранении и транспортировке.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ТО СВТ направлено на обеспечение постоянной готовности оборудования к использованию Пользователем по прямому назначению, рациональной загрузки Пользователем оборудования и предотвращение преждевременного выхода его из строя в связи с нарушениями Пользователем правил технической эксплуатации.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  <w:rPr>
          <w:szCs w:val="28"/>
        </w:rPr>
      </w:pPr>
      <w:r>
        <w:rPr>
          <w:szCs w:val="28"/>
        </w:rPr>
        <w:t>Обновление ПО, в результате которого в самом ПО не возникает значительных изменений (новые модули, изменяется версия программного продукта и т.п.), в данном документе не рассматривается как модификация.</w:t>
      </w:r>
    </w:p>
    <w:p w:rsidR="007A4BB0" w:rsidRDefault="00A676A1" w:rsidP="00581E45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</w:pPr>
      <w:r>
        <w:t>Виды технического обслуживания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В </w:t>
      </w:r>
      <w:r w:rsidR="00BD50D9">
        <w:t>комитете по финансам, налоговой и кредитной политике</w:t>
      </w:r>
      <w:r>
        <w:t xml:space="preserve"> города Барнаула проводится техническое обслуживание следующих видов:</w:t>
      </w:r>
    </w:p>
    <w:p w:rsidR="007A4BB0" w:rsidRDefault="00A676A1">
      <w:pPr>
        <w:pStyle w:val="22"/>
        <w:numPr>
          <w:ilvl w:val="0"/>
          <w:numId w:val="2"/>
        </w:numPr>
        <w:tabs>
          <w:tab w:val="left" w:pos="10065"/>
        </w:tabs>
      </w:pPr>
      <w:r>
        <w:t>плановое – производимое не менее 1 раз в год, если иное не указано в сопроводительной документации на СВТ;</w:t>
      </w:r>
    </w:p>
    <w:p w:rsidR="007A4BB0" w:rsidRDefault="00A676A1">
      <w:pPr>
        <w:pStyle w:val="22"/>
        <w:numPr>
          <w:ilvl w:val="0"/>
          <w:numId w:val="2"/>
        </w:numPr>
        <w:tabs>
          <w:tab w:val="left" w:pos="10065"/>
        </w:tabs>
      </w:pPr>
      <w:r>
        <w:t>внеоче</w:t>
      </w:r>
      <w:r w:rsidR="00581E45">
        <w:t>редное ТО СВТ, производимое по Заявке</w:t>
      </w:r>
      <w:r>
        <w:t xml:space="preserve"> </w:t>
      </w:r>
      <w:r w:rsidR="00404212">
        <w:t xml:space="preserve">на внесение изменений в состав аппаратно-программных средств ИС (Приложение 1) </w:t>
      </w:r>
      <w:r w:rsidR="009C61A5">
        <w:t>(далее – заявка) п</w:t>
      </w:r>
      <w:r>
        <w:t>ользователя при сбоях или отказах оборудования</w:t>
      </w:r>
      <w:r w:rsidR="006D7256">
        <w:t>.</w:t>
      </w:r>
    </w:p>
    <w:p w:rsidR="007A4BB0" w:rsidRDefault="00A676A1" w:rsidP="00581E45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</w:pPr>
      <w:r>
        <w:t>Организация работ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lastRenderedPageBreak/>
        <w:t xml:space="preserve">ТО СВТ проводится только на оборудовании, находящегося на балансе </w:t>
      </w:r>
      <w:r w:rsidR="00BD50D9">
        <w:t>комитета по финансам, налоговой и кредитной политике</w:t>
      </w:r>
      <w:r w:rsidRPr="00891A7A">
        <w:t xml:space="preserve"> города Барнаула.</w:t>
      </w:r>
    </w:p>
    <w:p w:rsidR="007A4BB0" w:rsidRDefault="00CA1B46">
      <w:pPr>
        <w:pStyle w:val="22"/>
        <w:numPr>
          <w:ilvl w:val="1"/>
          <w:numId w:val="7"/>
        </w:numPr>
      </w:pPr>
      <w:r>
        <w:t xml:space="preserve">План </w:t>
      </w:r>
      <w:r w:rsidR="00A676A1">
        <w:t>ТО СВТ</w:t>
      </w:r>
      <w:r>
        <w:t xml:space="preserve"> (П</w:t>
      </w:r>
      <w:r w:rsidR="00404212">
        <w:t>риложение 2</w:t>
      </w:r>
      <w:r>
        <w:t>)</w:t>
      </w:r>
      <w:r w:rsidR="00A676A1">
        <w:t xml:space="preserve"> утверждается после согласования председателем комитета</w:t>
      </w:r>
      <w:r w:rsidR="00BD50D9">
        <w:t xml:space="preserve"> по финансам, налоговой и кредитной политике</w:t>
      </w:r>
      <w:r w:rsidR="00A676A1">
        <w:t xml:space="preserve"> города Барнаула и предоставляется пользователю не менее чем за неделю до начала производства работ.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Факт пр</w:t>
      </w:r>
      <w:r w:rsidR="00D322DB">
        <w:t>оведения ТО СВТ фиксируется в ж</w:t>
      </w:r>
      <w:r>
        <w:t>урнал</w:t>
      </w:r>
      <w:r w:rsidR="00D322DB">
        <w:t>е</w:t>
      </w:r>
      <w:r>
        <w:t xml:space="preserve"> </w:t>
      </w:r>
      <w:r>
        <w:rPr>
          <w:rFonts w:eastAsia="Arial Unicode MS"/>
        </w:rPr>
        <w:t>проверки исправности и технического обслуживания</w:t>
      </w:r>
      <w:r w:rsidR="00CA1B46">
        <w:t xml:space="preserve"> (Приложение </w:t>
      </w:r>
      <w:r w:rsidR="00404212">
        <w:t>3</w:t>
      </w:r>
      <w:r w:rsidR="00D322DB">
        <w:t>)</w:t>
      </w:r>
      <w:r>
        <w:t xml:space="preserve">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Если для выполнения внеочередного ТО СВТ необходимо произвести работы, входящие в плановое ТО СВТ, то плановое ТО считается в данный период выполненным, и дата следующего планового ТО СВТ сдвигается на соответствующий периодический срок.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Внеочередное ТО СВТ производится на </w:t>
      </w:r>
      <w:r w:rsidR="009C61A5">
        <w:t>основании заявки</w:t>
      </w:r>
      <w:r>
        <w:t>, которая заверяется подписями руководителя структурного подра</w:t>
      </w:r>
      <w:r w:rsidR="009C61A5">
        <w:t>зделения (начальника отдела) и п</w:t>
      </w:r>
      <w:r>
        <w:t>ользователя. В заявке обязательно указывается текущая дата, тип или модель средства вычислительной техники, серийный (или заводской) номер, местонахождение оборудования, характер и обстоятельства возникновения возможной неисправнос</w:t>
      </w:r>
      <w:r w:rsidR="00D322DB">
        <w:t>ти. Учет заявок фиксируются в ж</w:t>
      </w:r>
      <w:r>
        <w:t>урнал</w:t>
      </w:r>
      <w:r w:rsidR="00D322DB">
        <w:t>е</w:t>
      </w:r>
      <w:r>
        <w:t xml:space="preserve"> </w:t>
      </w:r>
      <w:r>
        <w:rPr>
          <w:rFonts w:eastAsia="Arial Unicode MS"/>
        </w:rPr>
        <w:t>проверки исправности и технического обслуживания</w:t>
      </w:r>
      <w:r>
        <w:t xml:space="preserve">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Заключение о технической возможности осуществления затребованных изменений выдается </w:t>
      </w:r>
      <w:r w:rsidR="00C24ED2">
        <w:t>системным администратором</w:t>
      </w:r>
      <w:r>
        <w:t xml:space="preserve"> (на основании формуляров соответствующих АРМ или серверов).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Заключение о возможности совмещения решения новых задач (обработки информации) на указанных в заявке АРМ или серверах в соответствии с требованиями по безопасности выдается </w:t>
      </w:r>
      <w:proofErr w:type="spellStart"/>
      <w:r>
        <w:t>АИБом</w:t>
      </w:r>
      <w:proofErr w:type="spellEnd"/>
      <w:r>
        <w:t xml:space="preserve">, которому заявка передается на согласование (одновременно с этим производится </w:t>
      </w:r>
      <w:r w:rsidR="009D6F3C">
        <w:t>определение новых категорий защищенности</w:t>
      </w:r>
      <w:r>
        <w:t xml:space="preserve"> указанных АРМ или серверов).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После этого заявка передается </w:t>
      </w:r>
      <w:r w:rsidR="00C24ED2">
        <w:t>системному администратору</w:t>
      </w:r>
      <w:r>
        <w:t xml:space="preserve"> для непосредственного исполнения работ по внесению изменений в конфигурацию АРМ или серверов ИС.</w:t>
      </w:r>
    </w:p>
    <w:p w:rsidR="007A4BB0" w:rsidRDefault="00404212">
      <w:pPr>
        <w:pStyle w:val="22"/>
        <w:numPr>
          <w:ilvl w:val="1"/>
          <w:numId w:val="7"/>
        </w:numPr>
        <w:tabs>
          <w:tab w:val="left" w:pos="10065"/>
        </w:tabs>
      </w:pPr>
      <w:r>
        <w:t>В заявке</w:t>
      </w:r>
      <w:r w:rsidR="00A676A1">
        <w:t xml:space="preserve"> могут быть указаны следующие изменения в составе аппаратных и программных средств АРМ и серверов подразделения: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в подразделении новой ПЭВМ (развертывание новой АРМ или сервера)</w:t>
      </w:r>
      <w:r w:rsidR="00404212">
        <w:rPr>
          <w:rFonts w:ascii="Times New Roman" w:hAnsi="Times New Roman"/>
          <w:sz w:val="28"/>
          <w:szCs w:val="28"/>
        </w:rPr>
        <w:t>. По данному факту исполнителем заполняется акт установки оборудования (приложение 4)</w:t>
      </w:r>
      <w:r>
        <w:rPr>
          <w:rFonts w:ascii="Times New Roman" w:hAnsi="Times New Roman"/>
          <w:sz w:val="28"/>
          <w:szCs w:val="28"/>
        </w:rPr>
        <w:t>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ПЭВМ (АРМ или сервера подразделения);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изъятие ПЭВМ (АРМ или сервера подразделения);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добавление устройства (узла, блока) в состав конкретного АРМ или сервера подразделения;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устройства (узла, блока) в составе конкретного АРМ или сервера подразделения;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изъятие устройства (узла, блока) из состава конкретного АРМ или сервера;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(восстановление) системного ПО;</w:t>
      </w:r>
    </w:p>
    <w:p w:rsidR="007A4BB0" w:rsidRDefault="00A676A1">
      <w:pPr>
        <w:numPr>
          <w:ilvl w:val="0"/>
          <w:numId w:val="6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(развертывание) на конкретное АРМ или сервера программных средств, необходимых для решения определенной задачи (добавление возможности решения данной задачи на данном АРМ или сервере), за исключением офисного ПО.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Пользователь обязан обеспечить </w:t>
      </w:r>
      <w:r w:rsidR="009D4115">
        <w:t>отделу внедрения автоматизированных систем финансовых расчетов</w:t>
      </w:r>
      <w:r>
        <w:t xml:space="preserve"> комитета </w:t>
      </w:r>
      <w:r w:rsidR="00BD50D9">
        <w:t>по финансам, налоговой и кредитной политике</w:t>
      </w:r>
      <w:r>
        <w:t xml:space="preserve"> города Барнаула доступ к оборудованию, включенному в заявку, или организовать транспортировку неисправного оборудования для проведения восстановительных работ.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В случае выявления дефектов СВТ, которые не могут быть устранены собственными силами, СВТ должно быть передано для ремонта в сторонни</w:t>
      </w:r>
      <w:r w:rsidR="009C61A5">
        <w:t>е сертифицированные организации.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Пользователь обязан обеспечить строгое соблюдение правил технической эксплуатации и нормы загрузки оборудования, рекомендованные фирмой-изготовителем, </w:t>
      </w:r>
      <w:r w:rsidR="009C61A5">
        <w:t>периодическую</w:t>
      </w:r>
      <w:r>
        <w:t xml:space="preserve"> очистку от пыли и грязи внешних поверхностей оборудования, а также использование оборудования исключительно для решения заявленных производственных задач.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Пользователь не должен допускать случаев привлечения к ТО СВТ третьих лиц либо самостоятельного выполнения таких работ, как установка и настройка системного программного обеспечения, замена комплектующих и материалов, входящих в состав системного оборудования, любые виды работ по системному, сетевому администрированию, а также администрированию систем телекоммуникаций.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firstLine="709"/>
      </w:pPr>
      <w:r>
        <w:t>Перечень работ, входящих в плановое ТО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Компьютеры (сервера, рабочие станции, персональные компьютеры)</w:t>
      </w:r>
    </w:p>
    <w:p w:rsidR="007A4BB0" w:rsidRDefault="00A676A1">
      <w:pPr>
        <w:pStyle w:val="22"/>
        <w:tabs>
          <w:tab w:val="left" w:pos="10065"/>
        </w:tabs>
      </w:pPr>
      <w:r>
        <w:t>5.1.1</w:t>
      </w:r>
      <w:r w:rsidR="00057764">
        <w:t>.</w:t>
      </w:r>
      <w:r>
        <w:t xml:space="preserve"> Программное обеспечение </w:t>
      </w:r>
    </w:p>
    <w:p w:rsidR="007A4BB0" w:rsidRDefault="00A676A1">
      <w:pPr>
        <w:pStyle w:val="22"/>
        <w:tabs>
          <w:tab w:val="left" w:pos="10065"/>
        </w:tabs>
      </w:pPr>
      <w:r>
        <w:t>5.1.1.1</w:t>
      </w:r>
      <w:r w:rsidR="00057764">
        <w:t>. </w:t>
      </w:r>
      <w:r>
        <w:t xml:space="preserve">Проверка установки критически важных обновлений системного программного обеспечения. </w:t>
      </w:r>
    </w:p>
    <w:p w:rsidR="007A4BB0" w:rsidRDefault="00057764" w:rsidP="00057764">
      <w:pPr>
        <w:pStyle w:val="22"/>
        <w:tabs>
          <w:tab w:val="left" w:pos="1560"/>
          <w:tab w:val="left" w:pos="2552"/>
          <w:tab w:val="left" w:pos="2694"/>
          <w:tab w:val="left" w:pos="10065"/>
        </w:tabs>
      </w:pPr>
      <w:r>
        <w:t>5.1.1.2. </w:t>
      </w:r>
      <w:r w:rsidR="00A676A1">
        <w:t xml:space="preserve">Проверка работоспособности обновленного системного программного обеспечения. </w:t>
      </w:r>
    </w:p>
    <w:p w:rsidR="007A4BB0" w:rsidRDefault="00057764">
      <w:pPr>
        <w:pStyle w:val="22"/>
        <w:tabs>
          <w:tab w:val="left" w:pos="10065"/>
        </w:tabs>
      </w:pPr>
      <w:r>
        <w:t>5.1.1.3. </w:t>
      </w:r>
      <w:r w:rsidR="00A676A1">
        <w:t xml:space="preserve">Проверка наличия обновления антивирусного программного обеспечения, наличия вирусов или вредного программного обеспечения и удаления их. </w:t>
      </w:r>
    </w:p>
    <w:p w:rsidR="007A4BB0" w:rsidRDefault="00057764" w:rsidP="00057764">
      <w:pPr>
        <w:pStyle w:val="22"/>
        <w:tabs>
          <w:tab w:val="left" w:pos="1560"/>
          <w:tab w:val="left" w:pos="10065"/>
        </w:tabs>
      </w:pPr>
      <w:r>
        <w:t>5.1.1.4. </w:t>
      </w:r>
      <w:r w:rsidR="00A676A1">
        <w:t xml:space="preserve">Создание архива обновленного системного программного обеспечения. </w:t>
      </w:r>
    </w:p>
    <w:p w:rsidR="007A4BB0" w:rsidRDefault="00A676A1">
      <w:pPr>
        <w:pStyle w:val="22"/>
        <w:tabs>
          <w:tab w:val="left" w:pos="10065"/>
        </w:tabs>
      </w:pPr>
      <w:r>
        <w:t>5.1.1.5</w:t>
      </w:r>
      <w:r w:rsidR="00057764">
        <w:t>.</w:t>
      </w:r>
      <w:r>
        <w:t xml:space="preserve"> Создание архива данных Пользователя по его просьбе. </w:t>
      </w:r>
    </w:p>
    <w:p w:rsidR="007A4BB0" w:rsidRDefault="00057764">
      <w:pPr>
        <w:pStyle w:val="22"/>
        <w:tabs>
          <w:tab w:val="left" w:pos="10065"/>
        </w:tabs>
      </w:pPr>
      <w:r>
        <w:lastRenderedPageBreak/>
        <w:t>5.1.1.6. </w:t>
      </w:r>
      <w:r w:rsidR="00A676A1">
        <w:t>При невозможност</w:t>
      </w:r>
      <w:r w:rsidR="00BD4D3F">
        <w:t>и проведения любого из пунктов 5</w:t>
      </w:r>
      <w:r w:rsidR="00A676A1">
        <w:t>.1.1.1</w:t>
      </w:r>
      <w:r w:rsidR="00C94628">
        <w:t xml:space="preserve"> </w:t>
      </w:r>
      <w:r w:rsidR="00A676A1">
        <w:t>-</w:t>
      </w:r>
      <w:r w:rsidR="00C94628">
        <w:t xml:space="preserve"> </w:t>
      </w:r>
      <w:r w:rsidR="00A676A1">
        <w:t>5</w:t>
      </w:r>
      <w:r w:rsidR="00BD4D3F">
        <w:t>.1.1.5, допускается</w:t>
      </w:r>
      <w:r w:rsidR="00A676A1">
        <w:t xml:space="preserve"> полная переустановка системного программного обеспечения из первоначальных дистрибутивов или предыдущих архивов с дальнейшим прохождением этих пунктов. 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</w:t>
      </w:r>
      <w:r w:rsidR="0005776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Аппаратное обеспечение 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5.1.2.1</w:t>
      </w:r>
      <w:r w:rsidR="0005776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Очистка от пыли внутренних объемов системных устройств. Внешняя чистка системных устройств. 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5.1.2.2</w:t>
      </w:r>
      <w:r w:rsidR="0005776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Проверка теплового режима системных устройств, в том числе его комплектующих. Комплексная проверка полностью собранного устройства на работоспособность при максимально допустимой внутренней паспортной температуре без основных носителей информации. При необход</w:t>
      </w:r>
      <w:r w:rsidR="00BD4D3F">
        <w:rPr>
          <w:rFonts w:ascii="Times New Roman" w:hAnsi="Times New Roman"/>
          <w:color w:val="000000"/>
          <w:sz w:val="28"/>
          <w:szCs w:val="28"/>
        </w:rPr>
        <w:t xml:space="preserve">имости замена </w:t>
      </w:r>
      <w:proofErr w:type="spellStart"/>
      <w:r w:rsidR="00BD4D3F">
        <w:rPr>
          <w:rFonts w:ascii="Times New Roman" w:hAnsi="Times New Roman"/>
          <w:color w:val="000000"/>
          <w:sz w:val="28"/>
          <w:szCs w:val="28"/>
        </w:rPr>
        <w:t>термоинтерфейсов</w:t>
      </w:r>
      <w:proofErr w:type="spellEnd"/>
      <w:r w:rsidR="00BD4D3F">
        <w:rPr>
          <w:rFonts w:ascii="Times New Roman" w:hAnsi="Times New Roman"/>
          <w:color w:val="000000"/>
          <w:sz w:val="28"/>
          <w:szCs w:val="28"/>
        </w:rPr>
        <w:t>.</w:t>
      </w:r>
    </w:p>
    <w:p w:rsidR="007A4BB0" w:rsidRDefault="00057764" w:rsidP="009C61A5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5.1.2.3. 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Проверка системы вентиляции на число оборотов и допустимого шума, в том числе системы вентиляции блока питания. При необходимости замена системы вентиляции. </w:t>
      </w:r>
    </w:p>
    <w:p w:rsidR="007A4BB0" w:rsidRDefault="00057764" w:rsidP="009C61A5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5.1.2.4. </w:t>
      </w:r>
      <w:r w:rsidR="00A676A1">
        <w:rPr>
          <w:rFonts w:ascii="Times New Roman" w:hAnsi="Times New Roman"/>
          <w:color w:val="000000"/>
          <w:sz w:val="28"/>
          <w:szCs w:val="28"/>
        </w:rPr>
        <w:t>Проверка блока питания под нагрузкой. При необходимости произведение ремонта или замена блока питания.</w:t>
      </w:r>
    </w:p>
    <w:p w:rsidR="007A4BB0" w:rsidRDefault="00057764" w:rsidP="009C61A5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5.1.2.5. </w:t>
      </w:r>
      <w:r w:rsidR="00A676A1">
        <w:rPr>
          <w:rFonts w:ascii="Times New Roman" w:hAnsi="Times New Roman"/>
          <w:color w:val="000000"/>
          <w:sz w:val="28"/>
          <w:szCs w:val="28"/>
        </w:rPr>
        <w:t>Проверка работоспособности устройств со съемными носителями, в том числе на запись, при необходимости чистка специальными носителями или инструментом, ремонт или замена съемного носителя.</w:t>
      </w:r>
    </w:p>
    <w:p w:rsidR="007A4BB0" w:rsidRDefault="00057764" w:rsidP="009C61A5">
      <w:pPr>
        <w:tabs>
          <w:tab w:val="left" w:pos="1701"/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5.1.2.6. </w:t>
      </w:r>
      <w:r w:rsidR="00A676A1">
        <w:rPr>
          <w:rFonts w:ascii="Times New Roman" w:hAnsi="Times New Roman"/>
          <w:color w:val="000000"/>
          <w:sz w:val="28"/>
          <w:szCs w:val="28"/>
        </w:rPr>
        <w:t>Проверка используемых портов на работоспособность. При необходимости ремонт или замена используемых портов.</w:t>
      </w:r>
    </w:p>
    <w:p w:rsidR="007A4BB0" w:rsidRDefault="00057764" w:rsidP="009C61A5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5.1.2.7. </w:t>
      </w:r>
      <w:r w:rsidR="00A676A1">
        <w:rPr>
          <w:rFonts w:ascii="Times New Roman" w:hAnsi="Times New Roman"/>
          <w:color w:val="000000"/>
          <w:sz w:val="28"/>
          <w:szCs w:val="28"/>
        </w:rPr>
        <w:t>Приемо-сдаточная проверка на включение, загрузку, выключение и выб</w:t>
      </w:r>
      <w:r w:rsidR="009C61A5">
        <w:rPr>
          <w:rFonts w:ascii="Times New Roman" w:hAnsi="Times New Roman"/>
          <w:color w:val="000000"/>
          <w:sz w:val="28"/>
          <w:szCs w:val="28"/>
        </w:rPr>
        <w:t>орочная проверка по требованию п</w:t>
      </w:r>
      <w:r w:rsidR="00A676A1">
        <w:rPr>
          <w:rFonts w:ascii="Times New Roman" w:hAnsi="Times New Roman"/>
          <w:color w:val="000000"/>
          <w:sz w:val="28"/>
          <w:szCs w:val="28"/>
        </w:rPr>
        <w:t>ользователя.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Принтер: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="00057764">
        <w:rPr>
          <w:rFonts w:ascii="Times New Roman" w:hAnsi="Times New Roman"/>
          <w:color w:val="000000"/>
          <w:sz w:val="28"/>
          <w:szCs w:val="28"/>
        </w:rPr>
        <w:t>.1. 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Приемная проверка работоспособности встроенным тестом печати.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5.2.2. </w:t>
      </w:r>
      <w:r w:rsidR="00A676A1">
        <w:rPr>
          <w:rFonts w:ascii="Times New Roman" w:hAnsi="Times New Roman"/>
          <w:color w:val="000000"/>
          <w:sz w:val="28"/>
          <w:szCs w:val="28"/>
        </w:rPr>
        <w:t>Приемная проверка работоспособности с тестовым сервером печати или компьютером.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5.2.3. </w:t>
      </w:r>
      <w:r w:rsidR="00A676A1">
        <w:rPr>
          <w:rFonts w:ascii="Times New Roman" w:hAnsi="Times New Roman"/>
          <w:color w:val="000000"/>
          <w:sz w:val="28"/>
          <w:szCs w:val="28"/>
        </w:rPr>
        <w:t>Разборка, чистка от пыли, чистка и смазка механизма подачи бумаги, включая термическую часть, чистка печатающей головки / лазерной оптики / чернильных сопел, внутренняя и наружная чистка корпуса; сборка, при необходимости замена изношенных комплектующих и материалов.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5.2.4. </w:t>
      </w:r>
      <w:r w:rsidR="00A676A1">
        <w:rPr>
          <w:rFonts w:ascii="Times New Roman" w:hAnsi="Times New Roman"/>
          <w:color w:val="000000"/>
          <w:sz w:val="28"/>
          <w:szCs w:val="28"/>
        </w:rPr>
        <w:t>Приемо-сдаточная проверка на работоспособность с тестовым сервером печати или компьютером.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Сканер: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5.3.1. 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Приемная проверка работоспособности с компьютером.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5.3.2. 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Разборка, чистка от пыли, чистка и смазка механизма считывания, чистка оптики, внутренняя и наружная чистка корпуса; сборка, при необходимости замена изношенных комплектующих и материалов.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5.3.3. 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Приемо-сдаточная проверка на работоспособность с компьютером.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lastRenderedPageBreak/>
        <w:t xml:space="preserve">Источник бесперебойного питания: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5.4.1. 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Приемная проверка работоспособности с компьютером.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5.4.2. </w:t>
      </w:r>
      <w:r w:rsidR="00A676A1">
        <w:rPr>
          <w:rFonts w:ascii="Times New Roman" w:hAnsi="Times New Roman"/>
          <w:color w:val="000000"/>
          <w:sz w:val="28"/>
          <w:szCs w:val="28"/>
        </w:rPr>
        <w:t>Проверка работоспособности источника с батареями под нагрузкой в течение заданного времени.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5.4.3. </w:t>
      </w:r>
      <w:r w:rsidR="00A676A1">
        <w:rPr>
          <w:rFonts w:ascii="Times New Roman" w:hAnsi="Times New Roman"/>
          <w:color w:val="000000"/>
          <w:sz w:val="28"/>
          <w:szCs w:val="28"/>
        </w:rPr>
        <w:t>Проверка процесса зарядки аккумуляторов после разрядки по предыдущему пункту.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5.4.4. </w:t>
      </w:r>
      <w:r w:rsidR="00A676A1">
        <w:rPr>
          <w:rFonts w:ascii="Times New Roman" w:hAnsi="Times New Roman"/>
          <w:color w:val="000000"/>
          <w:sz w:val="28"/>
          <w:szCs w:val="28"/>
        </w:rPr>
        <w:t>Разборка, чистка от пыли, внутренняя и наружная чистка корпуса; сборка, при необходимости замена изношенных комплектующих и материалов.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Копировально-множительная техника: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5.5.1. 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Приемная проверка работоспособности путем копирования образца. 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5.5.2. </w:t>
      </w:r>
      <w:r w:rsidR="00A676A1">
        <w:rPr>
          <w:rFonts w:ascii="Times New Roman" w:hAnsi="Times New Roman"/>
          <w:color w:val="000000"/>
          <w:sz w:val="28"/>
          <w:szCs w:val="28"/>
        </w:rPr>
        <w:t>Разборка, чистка от пыли, чистка и смазка механизма подачи бумаги, включая термическую часть, чистка лазерной оптики, / чернильных сопел, считывающей оптики, внутренняя и наружная чистка корпуса; сборка, при необходимости замена изношенных комплектующих и материалов.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5.5.3. </w:t>
      </w:r>
      <w:r w:rsidR="00A676A1">
        <w:rPr>
          <w:rFonts w:ascii="Times New Roman" w:hAnsi="Times New Roman"/>
          <w:color w:val="000000"/>
          <w:sz w:val="28"/>
          <w:szCs w:val="28"/>
        </w:rPr>
        <w:t xml:space="preserve">Приемо-сдаточная проверка на работоспособность путем копирования образца.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Другие устройства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5.6.1. </w:t>
      </w:r>
      <w:r w:rsidR="00A676A1">
        <w:rPr>
          <w:rFonts w:ascii="Times New Roman" w:hAnsi="Times New Roman"/>
          <w:color w:val="000000"/>
          <w:sz w:val="28"/>
          <w:szCs w:val="28"/>
        </w:rPr>
        <w:t>Приемная проверка работоспособности.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5.6.2. </w:t>
      </w:r>
      <w:r w:rsidR="00A676A1">
        <w:rPr>
          <w:rFonts w:ascii="Times New Roman" w:hAnsi="Times New Roman"/>
          <w:color w:val="000000"/>
          <w:sz w:val="28"/>
          <w:szCs w:val="28"/>
        </w:rPr>
        <w:t>Разборка, чистка от пыли, внутренняя и наружная чистка корпуса; сборка, при необходимости замена изношенных комплектующих и материалов.</w:t>
      </w:r>
    </w:p>
    <w:p w:rsidR="007A4BB0" w:rsidRDefault="00057764">
      <w:pPr>
        <w:tabs>
          <w:tab w:val="left" w:pos="10065"/>
        </w:tabs>
        <w:spacing w:before="0"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5.6.3. </w:t>
      </w:r>
      <w:r w:rsidR="00A676A1">
        <w:rPr>
          <w:rFonts w:ascii="Times New Roman" w:hAnsi="Times New Roman"/>
          <w:color w:val="000000"/>
          <w:sz w:val="28"/>
          <w:szCs w:val="28"/>
        </w:rPr>
        <w:t>Приемо-сдаточная проверка на работоспособность.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right="142" w:firstLine="709"/>
      </w:pPr>
      <w:r>
        <w:t>Состав работ, входящих во внеочередное ТО СВТ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  <w:ind w:right="140"/>
      </w:pPr>
      <w:r>
        <w:t>Первичная установка приобретенных средств СВТ, включение</w:t>
      </w:r>
      <w:r w:rsidR="009C61A5">
        <w:t xml:space="preserve"> их в работу на рабочих местах п</w:t>
      </w:r>
      <w:r>
        <w:t>ользователя.</w:t>
      </w:r>
      <w:r w:rsidR="00CA1B46">
        <w:t xml:space="preserve">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Передача неисправной техники, находящейся на гарантии, в гарантийный ремонт, получение ее с гарантийного ремонта,</w:t>
      </w:r>
      <w:r w:rsidR="009C61A5">
        <w:t xml:space="preserve"> и установка на рабочих местах п</w:t>
      </w:r>
      <w:r>
        <w:t xml:space="preserve">ользователя.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  <w:ind w:right="140"/>
      </w:pPr>
      <w:r>
        <w:t>Техническое обслуживание СВТ, не находящихся на гаран</w:t>
      </w:r>
      <w:r w:rsidR="009C61A5">
        <w:t>тийном обслуживании, по заявке п</w:t>
      </w:r>
      <w:r>
        <w:t xml:space="preserve">ользователя с целью восстановления работоспособности СВТ, устранения последствий его сбоев или отказов. 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firstLine="709"/>
      </w:pPr>
      <w:r>
        <w:t xml:space="preserve">Порядок внесения изменений в конфигурации технических и программных средств ИС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Права и обязанности сотрудников </w:t>
      </w:r>
      <w:r w:rsidR="00BD50D9">
        <w:t>комитета по финансам, налоговой и кредитной политике</w:t>
      </w:r>
      <w:r w:rsidRPr="006D7256">
        <w:t xml:space="preserve"> города Барнаула.</w:t>
      </w:r>
    </w:p>
    <w:p w:rsidR="007A4BB0" w:rsidRDefault="00A676A1">
      <w:pPr>
        <w:pStyle w:val="22"/>
        <w:tabs>
          <w:tab w:val="left" w:pos="10065"/>
        </w:tabs>
      </w:pPr>
      <w:r>
        <w:t>7.1.1.Все изменения должны производиться то</w:t>
      </w:r>
      <w:r w:rsidR="00BD4D3F">
        <w:t xml:space="preserve">лько на основании </w:t>
      </w:r>
      <w:r w:rsidR="009C61A5">
        <w:t xml:space="preserve">заявок </w:t>
      </w:r>
      <w:r w:rsidR="00404212">
        <w:t xml:space="preserve">начальников отделов, либо системного администратора, либо </w:t>
      </w:r>
      <w:proofErr w:type="spellStart"/>
      <w:r w:rsidR="00404212">
        <w:t>АИБа</w:t>
      </w:r>
      <w:proofErr w:type="spellEnd"/>
      <w:r>
        <w:t xml:space="preserve">. </w:t>
      </w:r>
      <w:r>
        <w:lastRenderedPageBreak/>
        <w:t>Перечень изменений, на которые требуется оформлен</w:t>
      </w:r>
      <w:r w:rsidR="00CA1B46">
        <w:t>ие заявки, приведен в пункте 4.9</w:t>
      </w:r>
      <w:r w:rsidR="009C61A5">
        <w:t xml:space="preserve"> настоящего п</w:t>
      </w:r>
      <w:r>
        <w:t>орядка.</w:t>
      </w:r>
    </w:p>
    <w:p w:rsidR="007A4BB0" w:rsidRDefault="00A676A1">
      <w:pPr>
        <w:pStyle w:val="22"/>
        <w:tabs>
          <w:tab w:val="left" w:pos="10065"/>
        </w:tabs>
      </w:pPr>
      <w:r>
        <w:t>7.1.2.Право внесения изменений в конфигурацию аппаратно-программных средств рабочих станций и серверов ИС, предоставляется:</w:t>
      </w:r>
    </w:p>
    <w:p w:rsidR="007A4BB0" w:rsidRDefault="00A676A1">
      <w:pPr>
        <w:numPr>
          <w:ilvl w:val="0"/>
          <w:numId w:val="3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системных и прикладных программных средств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C24ED2">
        <w:rPr>
          <w:rFonts w:ascii="Times New Roman" w:hAnsi="Times New Roman"/>
          <w:sz w:val="28"/>
          <w:szCs w:val="28"/>
        </w:rPr>
        <w:t>с</w:t>
      </w:r>
      <w:proofErr w:type="gramEnd"/>
      <w:r w:rsidR="00C24ED2">
        <w:rPr>
          <w:rFonts w:ascii="Times New Roman" w:hAnsi="Times New Roman"/>
          <w:sz w:val="28"/>
          <w:szCs w:val="28"/>
        </w:rPr>
        <w:t xml:space="preserve">истемным </w:t>
      </w:r>
      <w:r>
        <w:rPr>
          <w:rFonts w:ascii="Times New Roman" w:hAnsi="Times New Roman"/>
          <w:sz w:val="28"/>
          <w:szCs w:val="28"/>
        </w:rPr>
        <w:t>администратором;</w:t>
      </w:r>
    </w:p>
    <w:p w:rsidR="007A4BB0" w:rsidRDefault="00A676A1">
      <w:pPr>
        <w:numPr>
          <w:ilvl w:val="0"/>
          <w:numId w:val="3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24ED2">
        <w:rPr>
          <w:rFonts w:ascii="Times New Roman" w:hAnsi="Times New Roman"/>
          <w:sz w:val="28"/>
          <w:szCs w:val="28"/>
        </w:rPr>
        <w:t>отношении аппаратных средств – системным администратором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A4BB0" w:rsidRDefault="00A676A1">
      <w:pPr>
        <w:numPr>
          <w:ilvl w:val="0"/>
          <w:numId w:val="3"/>
        </w:numPr>
        <w:tabs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программно-аппаратных средств защиты – </w:t>
      </w:r>
      <w:proofErr w:type="spellStart"/>
      <w:r>
        <w:rPr>
          <w:rFonts w:ascii="Times New Roman" w:hAnsi="Times New Roman"/>
          <w:sz w:val="28"/>
          <w:szCs w:val="28"/>
        </w:rPr>
        <w:t>АИБа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A4BB0" w:rsidRDefault="00A676A1">
      <w:pPr>
        <w:numPr>
          <w:ilvl w:val="0"/>
          <w:numId w:val="3"/>
        </w:numPr>
        <w:tabs>
          <w:tab w:val="center" w:pos="720"/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программно-аппаратных средств телекоммуникации – </w:t>
      </w:r>
      <w:r w:rsidR="00C24ED2">
        <w:rPr>
          <w:rFonts w:ascii="Times New Roman" w:hAnsi="Times New Roman"/>
          <w:sz w:val="28"/>
          <w:szCs w:val="28"/>
        </w:rPr>
        <w:t>системным администратором</w:t>
      </w:r>
      <w:r>
        <w:rPr>
          <w:rFonts w:ascii="Times New Roman" w:hAnsi="Times New Roman"/>
          <w:sz w:val="28"/>
          <w:szCs w:val="28"/>
        </w:rPr>
        <w:t>;</w:t>
      </w:r>
    </w:p>
    <w:p w:rsidR="00CA1B46" w:rsidRDefault="00CA1B46" w:rsidP="00CA1B46">
      <w:pPr>
        <w:tabs>
          <w:tab w:val="center" w:pos="720"/>
          <w:tab w:val="left" w:pos="1276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 Установка системного и прикладного программного обеспечения</w:t>
      </w:r>
      <w:r w:rsidR="008271A2">
        <w:rPr>
          <w:rFonts w:ascii="Times New Roman" w:hAnsi="Times New Roman"/>
          <w:sz w:val="28"/>
          <w:szCs w:val="28"/>
        </w:rPr>
        <w:t xml:space="preserve"> производится в соответствии с П</w:t>
      </w:r>
      <w:r>
        <w:rPr>
          <w:rFonts w:ascii="Times New Roman" w:hAnsi="Times New Roman"/>
          <w:sz w:val="28"/>
          <w:szCs w:val="28"/>
        </w:rPr>
        <w:t>еречнем разрешенного к использованию программного обеспечения (П</w:t>
      </w:r>
      <w:r w:rsidR="00404212">
        <w:rPr>
          <w:rFonts w:ascii="Times New Roman" w:hAnsi="Times New Roman"/>
          <w:sz w:val="28"/>
          <w:szCs w:val="28"/>
        </w:rPr>
        <w:t>риложение 5</w:t>
      </w:r>
      <w:r>
        <w:rPr>
          <w:rFonts w:ascii="Times New Roman" w:hAnsi="Times New Roman"/>
          <w:sz w:val="28"/>
          <w:szCs w:val="28"/>
        </w:rPr>
        <w:t>).</w:t>
      </w:r>
    </w:p>
    <w:p w:rsidR="007A4BB0" w:rsidRDefault="00CA1B46" w:rsidP="008271A2">
      <w:pPr>
        <w:pStyle w:val="22"/>
        <w:tabs>
          <w:tab w:val="left" w:pos="1418"/>
          <w:tab w:val="left" w:pos="10065"/>
        </w:tabs>
      </w:pPr>
      <w:r>
        <w:t>7.1.4</w:t>
      </w:r>
      <w:r w:rsidR="00057764">
        <w:t>. </w:t>
      </w:r>
      <w:r w:rsidR="00A676A1">
        <w:t>Изменение конфигурации аппаратно-программных средств рабочих станций и серверов кем-либо, кроме перечисленных сотрудников, запрещено.</w:t>
      </w:r>
    </w:p>
    <w:p w:rsidR="007A4BB0" w:rsidRDefault="00057764">
      <w:pPr>
        <w:pStyle w:val="22"/>
        <w:numPr>
          <w:ilvl w:val="1"/>
          <w:numId w:val="7"/>
        </w:numPr>
        <w:tabs>
          <w:tab w:val="left" w:pos="10065"/>
        </w:tabs>
      </w:pPr>
      <w:r>
        <w:t> </w:t>
      </w:r>
      <w:proofErr w:type="gramStart"/>
      <w:r w:rsidR="00A676A1">
        <w:t>Ответственные</w:t>
      </w:r>
      <w:proofErr w:type="gramEnd"/>
      <w:r w:rsidR="00A676A1">
        <w:t xml:space="preserve"> за выполнение разных видов работ</w:t>
      </w:r>
    </w:p>
    <w:p w:rsidR="007A4BB0" w:rsidRDefault="00A676A1">
      <w:pPr>
        <w:tabs>
          <w:tab w:val="left" w:pos="1418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7.2.1. Допускается внесение изменений в состав аппаратных средств и программного обеспечения только при наличии оформленной и согласованной заявки на осуществление данных изменений. </w:t>
      </w:r>
    </w:p>
    <w:p w:rsidR="007A4BB0" w:rsidRDefault="00A676A1">
      <w:pPr>
        <w:tabs>
          <w:tab w:val="left" w:pos="1418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 Установка, изменение (обновление) и удаление системных и прикладных программных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оизводится </w:t>
      </w:r>
      <w:r w:rsidR="00C24ED2">
        <w:rPr>
          <w:rFonts w:ascii="Times New Roman" w:hAnsi="Times New Roman"/>
          <w:sz w:val="28"/>
          <w:szCs w:val="28"/>
        </w:rPr>
        <w:t>системным</w:t>
      </w:r>
      <w:r>
        <w:rPr>
          <w:rFonts w:ascii="Times New Roman" w:hAnsi="Times New Roman"/>
          <w:sz w:val="28"/>
          <w:szCs w:val="28"/>
        </w:rPr>
        <w:t xml:space="preserve"> администратором. Установка, снятие, и внесение необходимых изменений в настройки средств защиты от НСД и средств контроля целостности файлов (при их использовании) на АРМ осуществляется администратором информационной безопасности. В случае необходимости работы производятся в присутствии пользователя данного АРМ.</w:t>
      </w:r>
    </w:p>
    <w:p w:rsidR="007A4BB0" w:rsidRDefault="00057764" w:rsidP="008271A2">
      <w:pPr>
        <w:tabs>
          <w:tab w:val="left" w:pos="1560"/>
          <w:tab w:val="left" w:pos="3969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7.2.3. </w:t>
      </w:r>
      <w:r w:rsidR="00A676A1">
        <w:rPr>
          <w:rFonts w:ascii="Times New Roman" w:hAnsi="Times New Roman"/>
          <w:sz w:val="28"/>
          <w:szCs w:val="28"/>
        </w:rPr>
        <w:t xml:space="preserve">Подготовка модификаций программного обеспечения защищенных серверов и АРМ, тестирование, стендовые испытания и передача исходных текстов, документации и дистрибутивных носителей программ в архив эталонных дистрибутивов правления и другие необходимые действия производятся </w:t>
      </w:r>
      <w:r w:rsidR="00073111">
        <w:rPr>
          <w:rFonts w:ascii="Times New Roman" w:hAnsi="Times New Roman"/>
          <w:sz w:val="28"/>
          <w:szCs w:val="28"/>
        </w:rPr>
        <w:t xml:space="preserve">системным </w:t>
      </w:r>
      <w:proofErr w:type="spellStart"/>
      <w:r w:rsidR="00073111">
        <w:rPr>
          <w:rFonts w:ascii="Times New Roman" w:hAnsi="Times New Roman"/>
          <w:sz w:val="28"/>
          <w:szCs w:val="28"/>
        </w:rPr>
        <w:t>администртором</w:t>
      </w:r>
      <w:proofErr w:type="spellEnd"/>
      <w:r w:rsidR="00A676A1">
        <w:rPr>
          <w:rFonts w:ascii="Times New Roman" w:hAnsi="Times New Roman"/>
          <w:sz w:val="28"/>
          <w:szCs w:val="28"/>
        </w:rPr>
        <w:t>, согласно утвержденным инструкциям.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7.2.4. Установка или обновление подсистем ИС, должны проводиться в строгом соответствии с технологией проведения модификаций программных комплексов данных подсистем.</w:t>
      </w:r>
    </w:p>
    <w:p w:rsidR="007A4BB0" w:rsidRDefault="00A676A1">
      <w:pPr>
        <w:tabs>
          <w:tab w:val="left" w:pos="1418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7.2.5.</w:t>
      </w:r>
      <w:r>
        <w:rPr>
          <w:rFonts w:ascii="Times New Roman" w:hAnsi="Times New Roman"/>
          <w:sz w:val="28"/>
          <w:szCs w:val="28"/>
        </w:rPr>
        <w:tab/>
        <w:t>Установка и обновление общего ПО (системного, тестового и т.п.) на рабочие станции и сервера производится с оригинальных лицензионных дистрибутивных носителей (дискет, компакт дисков и т.п.), полученных установленным порядком, а прикладного ПО – с эталонных копий программных средств (при реализации сетевого архива эталонных дистрибутивов программ – из него). При необходимости (в случае установки части компонент на дисках сетевых серверов) к работам привлекается АИБ.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добавляемые программные и аппаратные компоненты должны быть предварительно проверены на работоспособность.</w:t>
      </w:r>
    </w:p>
    <w:p w:rsidR="007A4BB0" w:rsidRDefault="00A676A1">
      <w:pPr>
        <w:tabs>
          <w:tab w:val="left" w:pos="1418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7.2.6.</w:t>
      </w:r>
      <w:r>
        <w:rPr>
          <w:rFonts w:ascii="Times New Roman" w:hAnsi="Times New Roman"/>
          <w:sz w:val="28"/>
          <w:szCs w:val="28"/>
        </w:rPr>
        <w:tab/>
        <w:t>После установки (обновления) ПО АИБ должен произвести настройку СЗИ от НСД, проверить работоспособность ПО и правильность настройки средств защиты.</w:t>
      </w:r>
    </w:p>
    <w:p w:rsidR="007A4BB0" w:rsidRDefault="00A676A1">
      <w:pPr>
        <w:tabs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работ по внесению изменений в состав аппаратных средств защищаемой АРМ ее системный блок должен быть опечатан (опломбирован, защищен специальной наклейкой) </w:t>
      </w:r>
      <w:proofErr w:type="spellStart"/>
      <w:r>
        <w:rPr>
          <w:rFonts w:ascii="Times New Roman" w:hAnsi="Times New Roman"/>
          <w:sz w:val="28"/>
          <w:szCs w:val="28"/>
        </w:rPr>
        <w:t>АИБом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A4BB0" w:rsidRDefault="00A676A1">
      <w:pPr>
        <w:tabs>
          <w:tab w:val="left" w:pos="1418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7.2.7. Исполнители работ должны сделать соответствующую запись в формуляре АРМ, отметку о выполнении (на обратной стороне заявки).</w:t>
      </w:r>
    </w:p>
    <w:p w:rsidR="007A4BB0" w:rsidRDefault="00A676A1">
      <w:pPr>
        <w:tabs>
          <w:tab w:val="left" w:pos="993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7.2.8. Изъятие АРМ из состава рабочих станций подразделения при ее передаче на склад, в ремонт или в другое подразделение осуществляется только после того, как АИБ снимет с данной ПЭВМ средства защиты и предпримет необходимые меры для удаления защищаемой информации, которая хранилась на дисках компьютера. Факт уничтожения данных, находившихся на диске компьютера, оформляется актом за подписью администратора информационной безопасности. В случае поломки жесткого диска при передаче его в организацию для осуществления ремонта, в договоре должна быть предусмотрена ответственность сторонней организации о неразглашении информации, содержащейся на передаваемом диске. </w:t>
      </w:r>
    </w:p>
    <w:p w:rsidR="007A4BB0" w:rsidRDefault="00057764">
      <w:pPr>
        <w:tabs>
          <w:tab w:val="left" w:pos="1418"/>
          <w:tab w:val="left" w:pos="10065"/>
        </w:tabs>
        <w:spacing w:before="0"/>
        <w:ind w:right="0"/>
      </w:pPr>
      <w:r>
        <w:rPr>
          <w:rFonts w:ascii="Times New Roman" w:hAnsi="Times New Roman"/>
          <w:sz w:val="28"/>
          <w:szCs w:val="28"/>
        </w:rPr>
        <w:t>7.2.9. </w:t>
      </w:r>
      <w:r w:rsidR="00A676A1">
        <w:rPr>
          <w:rFonts w:ascii="Times New Roman" w:hAnsi="Times New Roman"/>
          <w:sz w:val="28"/>
          <w:szCs w:val="28"/>
        </w:rPr>
        <w:t xml:space="preserve">Оригиналы заявок (документов), на основании которых производились изменения в составе технических или программных средств АРМ с отметками о внесении изменений в состав аппаратно-программных средств, должны храниться </w:t>
      </w:r>
      <w:r w:rsidR="008271A2">
        <w:rPr>
          <w:rFonts w:ascii="Times New Roman" w:hAnsi="Times New Roman"/>
          <w:sz w:val="28"/>
          <w:szCs w:val="28"/>
        </w:rPr>
        <w:t>у</w:t>
      </w:r>
      <w:r w:rsidR="00A67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6A1">
        <w:rPr>
          <w:rFonts w:ascii="Times New Roman" w:hAnsi="Times New Roman"/>
          <w:sz w:val="28"/>
          <w:szCs w:val="28"/>
        </w:rPr>
        <w:t>АИБа</w:t>
      </w:r>
      <w:proofErr w:type="spellEnd"/>
      <w:r w:rsidR="00A676A1">
        <w:rPr>
          <w:rFonts w:ascii="Times New Roman" w:hAnsi="Times New Roman"/>
          <w:sz w:val="28"/>
          <w:szCs w:val="28"/>
        </w:rPr>
        <w:t>. Они могут использоваться в следующих случаях:</w:t>
      </w:r>
    </w:p>
    <w:p w:rsidR="007A4BB0" w:rsidRDefault="00A676A1">
      <w:pPr>
        <w:numPr>
          <w:ilvl w:val="0"/>
          <w:numId w:val="4"/>
        </w:numPr>
        <w:tabs>
          <w:tab w:val="left" w:pos="10065"/>
        </w:tabs>
        <w:spacing w:before="0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восстановления конфигурации АРМ после аварий;</w:t>
      </w:r>
    </w:p>
    <w:p w:rsidR="007A4BB0" w:rsidRDefault="00A676A1">
      <w:pPr>
        <w:numPr>
          <w:ilvl w:val="0"/>
          <w:numId w:val="4"/>
        </w:numPr>
        <w:tabs>
          <w:tab w:val="left" w:pos="10065"/>
        </w:tabs>
        <w:spacing w:before="0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контроля правомерности установки на конкретной АРМ средств для решения соответствующих задач при разборе конфликтных ситуаций;</w:t>
      </w:r>
    </w:p>
    <w:p w:rsidR="007A4BB0" w:rsidRDefault="00A676A1">
      <w:pPr>
        <w:numPr>
          <w:ilvl w:val="0"/>
          <w:numId w:val="4"/>
        </w:numPr>
        <w:tabs>
          <w:tab w:val="left" w:pos="10065"/>
        </w:tabs>
        <w:spacing w:before="0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правильности установки и настройки средств защиты АРМ.</w:t>
      </w:r>
    </w:p>
    <w:p w:rsidR="007A4BB0" w:rsidRDefault="00A676A1">
      <w:pPr>
        <w:tabs>
          <w:tab w:val="left" w:pos="1560"/>
          <w:tab w:val="left" w:pos="10065"/>
        </w:tabs>
        <w:spacing w:before="0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7.2.10.</w:t>
      </w:r>
      <w:r>
        <w:rPr>
          <w:rFonts w:ascii="Times New Roman" w:hAnsi="Times New Roman"/>
          <w:sz w:val="28"/>
          <w:szCs w:val="28"/>
        </w:rPr>
        <w:tab/>
        <w:t>Плановое и внеоче</w:t>
      </w:r>
      <w:r w:rsidR="007742A2">
        <w:rPr>
          <w:rFonts w:ascii="Times New Roman" w:hAnsi="Times New Roman"/>
          <w:sz w:val="28"/>
          <w:szCs w:val="28"/>
        </w:rPr>
        <w:t>редное ТО должно отражаться в ж</w:t>
      </w:r>
      <w:r>
        <w:rPr>
          <w:rFonts w:ascii="Times New Roman" w:hAnsi="Times New Roman"/>
          <w:sz w:val="28"/>
          <w:szCs w:val="28"/>
        </w:rPr>
        <w:t>урнале проверки исправно</w:t>
      </w:r>
      <w:r w:rsidR="007742A2">
        <w:rPr>
          <w:rFonts w:ascii="Times New Roman" w:hAnsi="Times New Roman"/>
          <w:sz w:val="28"/>
          <w:szCs w:val="28"/>
        </w:rPr>
        <w:t>сти и технического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firstLine="709"/>
      </w:pPr>
      <w:r>
        <w:t>Экстренная модификация (обстоятельства форс-мажор)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В исключительных случаях (сбой ПО, не позволяющий продолжить работу), требующих безотлагательного изменения ПО, допускается корректировка программ непосредственно на рабочей станции. В данной ситуации </w:t>
      </w:r>
      <w:r w:rsidR="00073111">
        <w:t>системный администратор</w:t>
      </w:r>
      <w:r>
        <w:t xml:space="preserve"> ставит в известность </w:t>
      </w:r>
      <w:proofErr w:type="spellStart"/>
      <w:r>
        <w:t>АИБа</w:t>
      </w:r>
      <w:proofErr w:type="spellEnd"/>
      <w:r>
        <w:t xml:space="preserve"> о необходимости такого изменения.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Факт внесения изменений в ПО АРМ оформляется актом за подписями пользователя данного АРМ, </w:t>
      </w:r>
      <w:r w:rsidR="00073111">
        <w:t>системного администратора</w:t>
      </w:r>
      <w:r>
        <w:t xml:space="preserve">, </w:t>
      </w:r>
      <w:proofErr w:type="spellStart"/>
      <w:r>
        <w:t>АИБа</w:t>
      </w:r>
      <w:proofErr w:type="spellEnd"/>
      <w:r>
        <w:t xml:space="preserve">. В акте указывается причина модификации, перечисляются файлы, </w:t>
      </w:r>
      <w:r>
        <w:lastRenderedPageBreak/>
        <w:t>подвергшиеся изменению, и указывается лицо(а), осуществившее изменения. При необходимости проводится изменение ПО загрузочного раздела сервера. Если это необходимо, администратор информационной безопасности вносит необходимые корректировки в настройки системы контроля целостности ПО АРМ и сервера (при их использовании). Факт модификации ПО и корректировок настроек системы защиты фиксируется на АРМ (сервере).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В течение следующего дня после составления акта, АИБ при участии сотрудников технического подразделения выясняют причины и состав проведенных экстренных изменений и принимают решение о необходимости подготовки исправительной модификации ПО или восстановления ПО АРМ (сервера). 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  <w:rPr>
          <w:szCs w:val="28"/>
        </w:rPr>
      </w:pPr>
      <w:r>
        <w:rPr>
          <w:szCs w:val="28"/>
        </w:rPr>
        <w:t xml:space="preserve">Необходимость участия в данном административном расследовании сотрудника подразделения определяется руководством. Результат расследования оформляется в виде согласованного решения и хранится у </w:t>
      </w:r>
      <w:proofErr w:type="spellStart"/>
      <w:r>
        <w:rPr>
          <w:szCs w:val="28"/>
        </w:rPr>
        <w:t>АИБа</w:t>
      </w:r>
      <w:proofErr w:type="spellEnd"/>
      <w:r>
        <w:rPr>
          <w:szCs w:val="28"/>
        </w:rPr>
        <w:t>.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left="794"/>
      </w:pPr>
      <w:r>
        <w:t xml:space="preserve">Порядок технического обслуживания и ремонта технических средств АРМ (серверов) </w:t>
      </w:r>
      <w:proofErr w:type="spellStart"/>
      <w:r>
        <w:t>ИСПДн</w:t>
      </w:r>
      <w:proofErr w:type="spellEnd"/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rPr>
          <w:rStyle w:val="20"/>
        </w:rPr>
        <w:t xml:space="preserve">Техническое обслуживание и ремонтные работы на технических средствах ПЭВМ АРМ должны осуществляться только </w:t>
      </w:r>
      <w:r w:rsidR="00073111">
        <w:rPr>
          <w:rStyle w:val="20"/>
        </w:rPr>
        <w:t>системным администратором</w:t>
      </w:r>
      <w:r>
        <w:rPr>
          <w:rStyle w:val="20"/>
        </w:rPr>
        <w:t>, назначенным ответственными за их обслуживание (сопровождение). Их вызов осуществляется сотрудниками подразделения</w:t>
      </w:r>
      <w:r>
        <w:t>, эксплуатирующих АРМ, при возникновении нештатных ситуаций.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К нештатным ситуациям относятся:</w:t>
      </w:r>
    </w:p>
    <w:p w:rsidR="007A4BB0" w:rsidRDefault="00A676A1">
      <w:pPr>
        <w:numPr>
          <w:ilvl w:val="0"/>
          <w:numId w:val="5"/>
        </w:numPr>
        <w:tabs>
          <w:tab w:val="left" w:pos="10065"/>
        </w:tabs>
        <w:spacing w:before="0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из строя или неустойчивое функционирование узлов ПЭВМ или периферийных устройств (например, дисковода, принтера) АРМ;</w:t>
      </w:r>
    </w:p>
    <w:p w:rsidR="007A4BB0" w:rsidRDefault="00A676A1">
      <w:pPr>
        <w:numPr>
          <w:ilvl w:val="0"/>
          <w:numId w:val="5"/>
        </w:numPr>
        <w:tabs>
          <w:tab w:val="left" w:pos="10065"/>
        </w:tabs>
        <w:spacing w:before="0"/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из строя системы электроснабжения АРМ.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 xml:space="preserve">Техническое обслуживание и регламентные работы могут проводиться в плановом порядке. </w:t>
      </w:r>
    </w:p>
    <w:p w:rsidR="007A4BB0" w:rsidRDefault="00073111">
      <w:pPr>
        <w:pStyle w:val="22"/>
        <w:numPr>
          <w:ilvl w:val="1"/>
          <w:numId w:val="7"/>
        </w:numPr>
        <w:tabs>
          <w:tab w:val="left" w:pos="10065"/>
        </w:tabs>
        <w:rPr>
          <w:szCs w:val="28"/>
        </w:rPr>
      </w:pPr>
      <w:r>
        <w:rPr>
          <w:szCs w:val="28"/>
        </w:rPr>
        <w:t>Системный администратор</w:t>
      </w:r>
      <w:r w:rsidR="00A676A1">
        <w:rPr>
          <w:szCs w:val="28"/>
        </w:rPr>
        <w:t xml:space="preserve"> имеет право доступа к АРМ для разбора нештатных ситуаций без участия </w:t>
      </w:r>
      <w:proofErr w:type="spellStart"/>
      <w:r w:rsidR="00A676A1">
        <w:rPr>
          <w:szCs w:val="28"/>
        </w:rPr>
        <w:t>АИБа</w:t>
      </w:r>
      <w:proofErr w:type="spellEnd"/>
      <w:r w:rsidR="00A676A1">
        <w:rPr>
          <w:szCs w:val="28"/>
        </w:rPr>
        <w:t xml:space="preserve"> при обнаружении сбоев в их работе только для тестирования ПЭВМ с </w:t>
      </w:r>
      <w:proofErr w:type="gramStart"/>
      <w:r w:rsidR="00A676A1">
        <w:rPr>
          <w:szCs w:val="28"/>
        </w:rPr>
        <w:t>использованием</w:t>
      </w:r>
      <w:proofErr w:type="gramEnd"/>
      <w:r w:rsidR="00A676A1">
        <w:rPr>
          <w:szCs w:val="28"/>
        </w:rPr>
        <w:t xml:space="preserve"> установленных на АРМ (в сети) тестовых средств.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Ответственность за соблюдение требований по обеспечению безопасности информации при проведении технического обслуживания и ремонтных работ на ПЭВМ возлагается на администратора информационной безопасности.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При необходимости осуществления изменений аппаратно-программной конфигурации АРМ соответствующие работы выполняются с соблюдением требований данного Порядка.</w:t>
      </w:r>
    </w:p>
    <w:p w:rsidR="007A4BB0" w:rsidRDefault="00A676A1" w:rsidP="008271A2">
      <w:pPr>
        <w:pStyle w:val="11"/>
        <w:numPr>
          <w:ilvl w:val="0"/>
          <w:numId w:val="7"/>
        </w:numPr>
        <w:tabs>
          <w:tab w:val="left" w:pos="10065"/>
        </w:tabs>
        <w:spacing w:before="240" w:after="240"/>
        <w:ind w:left="567"/>
      </w:pPr>
      <w:r>
        <w:lastRenderedPageBreak/>
        <w:t>Порядок проверки работоспособности системы защиты после установки (обновления) программных средств внесения изменений в списки пользователей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После установки (обновления) программных средств АРМ или внесения изменений в списки пользователей системы АИБ обязан проверить работоспособность АРМ и правильность настройки средств защиты, установленных на компьютере в соответствии с инструкциями на конкретные СЗИ.</w:t>
      </w:r>
    </w:p>
    <w:p w:rsidR="007A4BB0" w:rsidRDefault="00A676A1">
      <w:pPr>
        <w:pStyle w:val="22"/>
        <w:numPr>
          <w:ilvl w:val="1"/>
          <w:numId w:val="7"/>
        </w:numPr>
        <w:tabs>
          <w:tab w:val="left" w:pos="10065"/>
        </w:tabs>
      </w:pPr>
      <w:r>
        <w:t>После осуществления данных действий необходимо проверить корректность функционирования системы защиты.</w:t>
      </w:r>
    </w:p>
    <w:sectPr w:rsidR="007A4BB0" w:rsidSect="00650EFD">
      <w:headerReference w:type="default" r:id="rId8"/>
      <w:pgSz w:w="11906" w:h="16838"/>
      <w:pgMar w:top="1134" w:right="851" w:bottom="1134" w:left="1985" w:header="708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D2" w:rsidRDefault="008D75D2">
      <w:pPr>
        <w:spacing w:before="0"/>
      </w:pPr>
      <w:r>
        <w:separator/>
      </w:r>
    </w:p>
  </w:endnote>
  <w:endnote w:type="continuationSeparator" w:id="0">
    <w:p w:rsidR="008D75D2" w:rsidRDefault="008D75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D2" w:rsidRDefault="008D75D2">
      <w:pPr>
        <w:spacing w:before="0"/>
      </w:pPr>
      <w:r>
        <w:separator/>
      </w:r>
    </w:p>
  </w:footnote>
  <w:footnote w:type="continuationSeparator" w:id="0">
    <w:p w:rsidR="008D75D2" w:rsidRDefault="008D75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B0" w:rsidRDefault="00A676A1">
    <w:pPr>
      <w:pStyle w:val="aa"/>
      <w:ind w:right="-1"/>
      <w:jc w:val="right"/>
    </w:pPr>
    <w:r>
      <w:fldChar w:fldCharType="begin"/>
    </w:r>
    <w:r>
      <w:instrText>PAGE</w:instrText>
    </w:r>
    <w:r>
      <w:fldChar w:fldCharType="separate"/>
    </w:r>
    <w:r w:rsidR="009A6D0F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2E3"/>
    <w:multiLevelType w:val="multilevel"/>
    <w:tmpl w:val="4C90850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F5F479B"/>
    <w:multiLevelType w:val="multilevel"/>
    <w:tmpl w:val="A75262B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D54131"/>
    <w:multiLevelType w:val="multilevel"/>
    <w:tmpl w:val="646610A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5477F97"/>
    <w:multiLevelType w:val="multilevel"/>
    <w:tmpl w:val="569884F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456F7263"/>
    <w:multiLevelType w:val="multilevel"/>
    <w:tmpl w:val="4656BA6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B8815F1"/>
    <w:multiLevelType w:val="multilevel"/>
    <w:tmpl w:val="EA16D2D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7C411307"/>
    <w:multiLevelType w:val="multilevel"/>
    <w:tmpl w:val="31C813A6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B0"/>
    <w:rsid w:val="00057764"/>
    <w:rsid w:val="00073111"/>
    <w:rsid w:val="000779B3"/>
    <w:rsid w:val="00221DB6"/>
    <w:rsid w:val="00283198"/>
    <w:rsid w:val="00344980"/>
    <w:rsid w:val="003A2DC0"/>
    <w:rsid w:val="00404212"/>
    <w:rsid w:val="00581E45"/>
    <w:rsid w:val="00650EFD"/>
    <w:rsid w:val="006D7256"/>
    <w:rsid w:val="00725AF2"/>
    <w:rsid w:val="007742A2"/>
    <w:rsid w:val="007A4BB0"/>
    <w:rsid w:val="008271A2"/>
    <w:rsid w:val="00891A7A"/>
    <w:rsid w:val="008D75D2"/>
    <w:rsid w:val="00993E3E"/>
    <w:rsid w:val="009A6D0F"/>
    <w:rsid w:val="009C61A5"/>
    <w:rsid w:val="009D4115"/>
    <w:rsid w:val="009D6F3C"/>
    <w:rsid w:val="00A676A1"/>
    <w:rsid w:val="00A81D12"/>
    <w:rsid w:val="00BD4D3F"/>
    <w:rsid w:val="00BD50D9"/>
    <w:rsid w:val="00C24ED2"/>
    <w:rsid w:val="00C80523"/>
    <w:rsid w:val="00C94628"/>
    <w:rsid w:val="00CA1B46"/>
    <w:rsid w:val="00D322DB"/>
    <w:rsid w:val="00E4239B"/>
    <w:rsid w:val="00F86538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styleId="a4">
    <w:name w:val="page number"/>
  </w:style>
  <w:style w:type="character" w:customStyle="1" w:styleId="10">
    <w:name w:val="Стиль1 Знак"/>
    <w:rPr>
      <w:rFonts w:ascii="Times New Roman" w:eastAsia="Times New Roman" w:hAnsi="Times New Roman"/>
      <w:sz w:val="28"/>
      <w:szCs w:val="28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480" w:after="480"/>
      <w:ind w:right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">
    <w:name w:val="Стиль2"/>
    <w:basedOn w:val="a"/>
    <w:pPr>
      <w:spacing w:before="0"/>
      <w:ind w:right="0"/>
      <w:textAlignment w:val="baseline"/>
    </w:pPr>
    <w:rPr>
      <w:rFonts w:ascii="Times New Roman" w:hAnsi="Times New Roman"/>
      <w:sz w:val="28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0">
    <w:name w:val="Стиль3"/>
    <w:basedOn w:val="11"/>
    <w:pPr>
      <w:spacing w:before="240" w:after="240"/>
    </w:pPr>
    <w:rPr>
      <w:b/>
      <w:caps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 w:firstLine="0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A81D12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D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styleId="a4">
    <w:name w:val="page number"/>
  </w:style>
  <w:style w:type="character" w:customStyle="1" w:styleId="10">
    <w:name w:val="Стиль1 Знак"/>
    <w:rPr>
      <w:rFonts w:ascii="Times New Roman" w:eastAsia="Times New Roman" w:hAnsi="Times New Roman"/>
      <w:sz w:val="28"/>
      <w:szCs w:val="28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480" w:after="480"/>
      <w:ind w:right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">
    <w:name w:val="Стиль2"/>
    <w:basedOn w:val="a"/>
    <w:pPr>
      <w:spacing w:before="0"/>
      <w:ind w:right="0"/>
      <w:textAlignment w:val="baseline"/>
    </w:pPr>
    <w:rPr>
      <w:rFonts w:ascii="Times New Roman" w:hAnsi="Times New Roman"/>
      <w:sz w:val="28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0">
    <w:name w:val="Стиль3"/>
    <w:basedOn w:val="11"/>
    <w:pPr>
      <w:spacing w:before="240" w:after="240"/>
    </w:pPr>
    <w:rPr>
      <w:b/>
      <w:caps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 w:firstLine="0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A81D12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D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Safe-Doc.com</dc:creator>
  <cp:lastModifiedBy>Владислав Иванович Сидоров</cp:lastModifiedBy>
  <cp:revision>17</cp:revision>
  <cp:lastPrinted>2022-03-11T06:10:00Z</cp:lastPrinted>
  <dcterms:created xsi:type="dcterms:W3CDTF">2021-08-26T11:33:00Z</dcterms:created>
  <dcterms:modified xsi:type="dcterms:W3CDTF">2022-04-12T01:11:00Z</dcterms:modified>
  <dc:language>ru-RU</dc:language>
</cp:coreProperties>
</file>