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BF" w:rsidRPr="00650A25" w:rsidRDefault="00B1518E" w:rsidP="00245980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</w:t>
      </w:r>
      <w:r w:rsidR="00D90960">
        <w:rPr>
          <w:rFonts w:ascii="Times New Roman" w:hAnsi="Times New Roman" w:cs="Times New Roman"/>
          <w:bCs/>
          <w:sz w:val="28"/>
          <w:szCs w:val="24"/>
        </w:rPr>
        <w:t>р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  <w:r w:rsidR="00216D34">
        <w:rPr>
          <w:rFonts w:ascii="Times New Roman" w:hAnsi="Times New Roman" w:cs="Times New Roman"/>
          <w:bCs/>
          <w:sz w:val="28"/>
          <w:szCs w:val="24"/>
        </w:rPr>
        <w:t>4</w:t>
      </w:r>
    </w:p>
    <w:p w:rsidR="00C23B67" w:rsidRDefault="00C23B67" w:rsidP="00C23B6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331B6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31B67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331B67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Pr="00331B6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331B67">
        <w:rPr>
          <w:rFonts w:ascii="Times New Roman" w:hAnsi="Times New Roman" w:cs="Times New Roman"/>
          <w:bCs/>
          <w:sz w:val="28"/>
          <w:szCs w:val="24"/>
        </w:rPr>
        <w:t>− города Барнаула Алтайского края</w:t>
      </w:r>
    </w:p>
    <w:p w:rsidR="00216D34" w:rsidRPr="00331B67" w:rsidRDefault="00216D34" w:rsidP="00C23B67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A570E3" w:rsidRDefault="00A570E3" w:rsidP="002367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ПОКАЗАТЕЛИ</w:t>
      </w:r>
    </w:p>
    <w:p w:rsidR="00642671" w:rsidRDefault="00216D34" w:rsidP="002367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6781">
        <w:rPr>
          <w:rFonts w:ascii="Times New Roman" w:hAnsi="Times New Roman"/>
          <w:sz w:val="28"/>
          <w:szCs w:val="28"/>
        </w:rPr>
        <w:t xml:space="preserve"> муниципального контроля, их целевые значения, </w:t>
      </w:r>
    </w:p>
    <w:p w:rsidR="00236781" w:rsidRPr="00712A26" w:rsidRDefault="00216D34" w:rsidP="00236781">
      <w:pPr>
        <w:spacing w:after="0" w:line="240" w:lineRule="auto"/>
        <w:ind w:firstLine="709"/>
        <w:jc w:val="center"/>
        <w:rPr>
          <w:sz w:val="27"/>
          <w:szCs w:val="27"/>
        </w:rPr>
      </w:pPr>
      <w:r w:rsidRPr="00236781">
        <w:rPr>
          <w:rFonts w:ascii="Times New Roman" w:hAnsi="Times New Roman"/>
          <w:sz w:val="28"/>
          <w:szCs w:val="28"/>
        </w:rPr>
        <w:t>индикативные показатели</w:t>
      </w:r>
    </w:p>
    <w:p w:rsidR="00236781" w:rsidRPr="00712A26" w:rsidRDefault="00236781" w:rsidP="004026F7">
      <w:pPr>
        <w:pStyle w:val="s40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0"/>
        <w:gridCol w:w="7592"/>
        <w:gridCol w:w="1125"/>
      </w:tblGrid>
      <w:tr w:rsidR="004026F7" w:rsidRPr="00236781" w:rsidTr="00DE78DB">
        <w:trPr>
          <w:trHeight w:val="225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6F7" w:rsidRPr="005809FE" w:rsidRDefault="004026F7" w:rsidP="00DA4E27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rStyle w:val="s58"/>
                <w:bCs/>
                <w:color w:val="000000"/>
                <w:sz w:val="28"/>
                <w:szCs w:val="28"/>
              </w:rPr>
            </w:pPr>
            <w:r w:rsidRPr="005809FE">
              <w:rPr>
                <w:rStyle w:val="s58"/>
                <w:bCs/>
                <w:color w:val="000000"/>
                <w:sz w:val="28"/>
                <w:szCs w:val="28"/>
              </w:rPr>
              <w:t>№</w:t>
            </w:r>
          </w:p>
          <w:p w:rsidR="004026F7" w:rsidRPr="005809FE" w:rsidRDefault="004026F7" w:rsidP="00DA4E27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rStyle w:val="s58"/>
                <w:bCs/>
                <w:color w:val="000000"/>
                <w:sz w:val="28"/>
                <w:szCs w:val="28"/>
              </w:rPr>
            </w:pPr>
            <w:r w:rsidRPr="005809FE">
              <w:rPr>
                <w:rStyle w:val="s58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A4E27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28"/>
                <w:szCs w:val="28"/>
              </w:rPr>
            </w:pPr>
            <w:r w:rsidRPr="005809FE">
              <w:rPr>
                <w:rStyle w:val="s58"/>
                <w:bCs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A4E27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28"/>
                <w:szCs w:val="28"/>
              </w:rPr>
            </w:pPr>
            <w:r w:rsidRPr="005809FE">
              <w:rPr>
                <w:rStyle w:val="s58"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4026F7" w:rsidRPr="00236781" w:rsidTr="00DE78DB">
        <w:trPr>
          <w:trHeight w:val="10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6F7" w:rsidRPr="005809FE" w:rsidRDefault="004026F7" w:rsidP="00946109">
            <w:pPr>
              <w:pStyle w:val="s61"/>
              <w:spacing w:before="0" w:beforeAutospacing="0" w:after="0" w:afterAutospacing="0" w:line="105" w:lineRule="atLeast"/>
              <w:jc w:val="center"/>
              <w:rPr>
                <w:rStyle w:val="s11"/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4026F7">
            <w:pPr>
              <w:pStyle w:val="s61"/>
              <w:spacing w:before="0" w:beforeAutospacing="0" w:after="0" w:afterAutospacing="0" w:line="105" w:lineRule="atLeast"/>
              <w:jc w:val="both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A4E27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70%</w:t>
            </w:r>
          </w:p>
        </w:tc>
      </w:tr>
      <w:tr w:rsidR="004026F7" w:rsidRPr="00236781" w:rsidTr="00DE78DB">
        <w:trPr>
          <w:trHeight w:val="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6F7" w:rsidRPr="005809FE" w:rsidRDefault="00B9631A" w:rsidP="00946109">
            <w:pPr>
              <w:pStyle w:val="s61"/>
              <w:spacing w:before="0" w:beforeAutospacing="0" w:after="0" w:afterAutospacing="0" w:line="90" w:lineRule="atLeast"/>
              <w:jc w:val="center"/>
              <w:rPr>
                <w:rStyle w:val="s11"/>
                <w:color w:val="000000"/>
                <w:sz w:val="28"/>
                <w:szCs w:val="28"/>
              </w:rPr>
            </w:pPr>
            <w:r>
              <w:rPr>
                <w:rStyle w:val="s11"/>
                <w:color w:val="000000"/>
                <w:sz w:val="28"/>
                <w:szCs w:val="28"/>
              </w:rPr>
              <w:t>2</w:t>
            </w:r>
            <w:r w:rsidR="004026F7" w:rsidRPr="005809FE">
              <w:rPr>
                <w:rStyle w:val="s11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E78DB">
            <w:pPr>
              <w:pStyle w:val="s61"/>
              <w:spacing w:before="0" w:beforeAutospacing="0" w:after="0" w:afterAutospacing="0" w:line="90" w:lineRule="atLeast"/>
              <w:jc w:val="both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 xml:space="preserve">Процент обоснованных жалоб на действия (бездействие) </w:t>
            </w:r>
            <w:r w:rsidR="00DE78DB" w:rsidRPr="005809FE">
              <w:rPr>
                <w:rStyle w:val="s11"/>
                <w:color w:val="000000"/>
                <w:sz w:val="28"/>
                <w:szCs w:val="28"/>
              </w:rPr>
              <w:t>контрольного органа</w:t>
            </w:r>
            <w:r w:rsidRPr="005809FE">
              <w:rPr>
                <w:rStyle w:val="s11"/>
                <w:color w:val="000000"/>
                <w:sz w:val="28"/>
                <w:szCs w:val="28"/>
              </w:rPr>
              <w:t xml:space="preserve"> и (или) его должностного лица при проведении контрольных мероприятий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A4E27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0%</w:t>
            </w:r>
          </w:p>
        </w:tc>
      </w:tr>
      <w:tr w:rsidR="004026F7" w:rsidRPr="00236781" w:rsidTr="00DE78DB">
        <w:trPr>
          <w:trHeight w:val="12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6F7" w:rsidRPr="005809FE" w:rsidRDefault="00B9631A" w:rsidP="00946109">
            <w:pPr>
              <w:pStyle w:val="s61"/>
              <w:spacing w:before="0" w:beforeAutospacing="0" w:after="0" w:afterAutospacing="0" w:line="120" w:lineRule="atLeast"/>
              <w:jc w:val="center"/>
              <w:rPr>
                <w:rStyle w:val="s11"/>
                <w:color w:val="000000"/>
                <w:sz w:val="28"/>
                <w:szCs w:val="28"/>
              </w:rPr>
            </w:pPr>
            <w:r>
              <w:rPr>
                <w:rStyle w:val="s11"/>
                <w:color w:val="000000"/>
                <w:sz w:val="28"/>
                <w:szCs w:val="28"/>
              </w:rPr>
              <w:t>3</w:t>
            </w:r>
            <w:r w:rsidR="004026F7" w:rsidRPr="005809FE">
              <w:rPr>
                <w:rStyle w:val="s11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4026F7">
            <w:pPr>
              <w:pStyle w:val="s61"/>
              <w:spacing w:before="0" w:beforeAutospacing="0" w:after="0" w:afterAutospacing="0" w:line="120" w:lineRule="atLeast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A4E27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0%</w:t>
            </w:r>
          </w:p>
        </w:tc>
      </w:tr>
      <w:tr w:rsidR="004026F7" w:rsidRPr="00236781" w:rsidTr="00DE78DB">
        <w:trPr>
          <w:trHeight w:val="1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6F7" w:rsidRPr="005809FE" w:rsidRDefault="00F334D6" w:rsidP="00946109">
            <w:pPr>
              <w:pStyle w:val="s61"/>
              <w:spacing w:before="0" w:beforeAutospacing="0" w:after="0" w:afterAutospacing="0" w:line="135" w:lineRule="atLeast"/>
              <w:jc w:val="center"/>
              <w:rPr>
                <w:rStyle w:val="s11"/>
                <w:color w:val="000000"/>
                <w:sz w:val="28"/>
                <w:szCs w:val="28"/>
              </w:rPr>
            </w:pPr>
            <w:r>
              <w:rPr>
                <w:rStyle w:val="s11"/>
                <w:color w:val="000000"/>
                <w:sz w:val="28"/>
                <w:szCs w:val="28"/>
              </w:rPr>
              <w:t>4</w:t>
            </w:r>
            <w:r w:rsidR="004026F7" w:rsidRPr="005809FE">
              <w:rPr>
                <w:rStyle w:val="s11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8DB" w:rsidRPr="005809FE" w:rsidRDefault="004026F7" w:rsidP="00DE78DB">
            <w:pPr>
              <w:pStyle w:val="s61"/>
              <w:spacing w:before="0" w:beforeAutospacing="0" w:after="0" w:afterAutospacing="0" w:line="135" w:lineRule="atLeast"/>
              <w:jc w:val="both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 xml:space="preserve">Процент отмененных в судебном порядке </w:t>
            </w:r>
            <w:r w:rsidR="00DE78DB" w:rsidRPr="005809FE">
              <w:rPr>
                <w:rStyle w:val="s11"/>
                <w:color w:val="000000"/>
                <w:sz w:val="28"/>
                <w:szCs w:val="28"/>
              </w:rPr>
              <w:t xml:space="preserve">решений </w:t>
            </w:r>
            <w:r w:rsidRPr="005809FE">
              <w:rPr>
                <w:rStyle w:val="s11"/>
                <w:color w:val="000000"/>
                <w:sz w:val="28"/>
                <w:szCs w:val="28"/>
              </w:rPr>
              <w:t xml:space="preserve">по делам об административных правонарушениях от общего количества вынесенных </w:t>
            </w:r>
            <w:r w:rsidR="00DE78DB" w:rsidRPr="005809FE">
              <w:rPr>
                <w:rStyle w:val="s11"/>
                <w:color w:val="000000"/>
                <w:sz w:val="28"/>
                <w:szCs w:val="28"/>
              </w:rPr>
              <w:t>контрольным органом решений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26F7" w:rsidRPr="005809FE" w:rsidRDefault="004026F7" w:rsidP="00DA4E27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  <w:sz w:val="28"/>
                <w:szCs w:val="28"/>
              </w:rPr>
            </w:pPr>
            <w:r w:rsidRPr="005809FE">
              <w:rPr>
                <w:rStyle w:val="s11"/>
                <w:color w:val="000000"/>
                <w:sz w:val="28"/>
                <w:szCs w:val="28"/>
              </w:rPr>
              <w:t>0%</w:t>
            </w:r>
          </w:p>
        </w:tc>
      </w:tr>
    </w:tbl>
    <w:p w:rsidR="00DE78DB" w:rsidRPr="00236781" w:rsidRDefault="00DE78DB" w:rsidP="00DE78DB">
      <w:pPr>
        <w:pStyle w:val="s4"/>
        <w:spacing w:before="0" w:beforeAutospacing="0" w:after="0" w:afterAutospacing="0"/>
        <w:rPr>
          <w:sz w:val="28"/>
          <w:szCs w:val="28"/>
        </w:rPr>
      </w:pPr>
    </w:p>
    <w:p w:rsidR="004026F7" w:rsidRPr="00236781" w:rsidRDefault="004026F7" w:rsidP="004026F7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2693"/>
        <w:gridCol w:w="2127"/>
        <w:gridCol w:w="2693"/>
        <w:gridCol w:w="1130"/>
      </w:tblGrid>
      <w:tr w:rsidR="004026F7" w:rsidRPr="004026F7" w:rsidTr="00DE78DB"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026F7" w:rsidRPr="00DE78DB" w:rsidRDefault="004026F7" w:rsidP="00DA4E27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78DB">
              <w:rPr>
                <w:color w:val="000000"/>
                <w:sz w:val="28"/>
                <w:szCs w:val="28"/>
              </w:rPr>
              <w:t>№</w:t>
            </w:r>
          </w:p>
          <w:p w:rsidR="004026F7" w:rsidRPr="00DE78DB" w:rsidRDefault="004026F7" w:rsidP="00DA4E27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78D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513" w:type="dxa"/>
            <w:gridSpan w:val="3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42671" w:rsidRDefault="004026F7" w:rsidP="00DA4E27">
            <w:pPr>
              <w:pStyle w:val="s4"/>
              <w:spacing w:before="0" w:beforeAutospacing="0" w:after="0" w:afterAutospacing="0"/>
              <w:jc w:val="center"/>
              <w:rPr>
                <w:rStyle w:val="s67"/>
                <w:bCs/>
                <w:sz w:val="28"/>
                <w:szCs w:val="28"/>
              </w:rPr>
            </w:pPr>
            <w:r w:rsidRPr="00DE78DB">
              <w:rPr>
                <w:rStyle w:val="s67"/>
                <w:bCs/>
                <w:sz w:val="28"/>
                <w:szCs w:val="28"/>
              </w:rPr>
              <w:t xml:space="preserve">Индикативные показатели, </w:t>
            </w:r>
          </w:p>
          <w:p w:rsidR="004026F7" w:rsidRPr="00DE78DB" w:rsidRDefault="004026F7" w:rsidP="00642671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8DB">
              <w:rPr>
                <w:rStyle w:val="s67"/>
                <w:bCs/>
                <w:sz w:val="28"/>
                <w:szCs w:val="28"/>
              </w:rPr>
              <w:t>характеризующие параметры</w:t>
            </w:r>
            <w:r w:rsidR="00642671">
              <w:rPr>
                <w:rStyle w:val="s67"/>
                <w:bCs/>
                <w:sz w:val="28"/>
                <w:szCs w:val="28"/>
              </w:rPr>
              <w:t xml:space="preserve"> </w:t>
            </w:r>
            <w:r w:rsidRPr="00DE78DB">
              <w:rPr>
                <w:rStyle w:val="s67"/>
                <w:bCs/>
                <w:sz w:val="28"/>
                <w:szCs w:val="28"/>
              </w:rPr>
              <w:t>проведенных мероприятий</w:t>
            </w:r>
          </w:p>
        </w:tc>
        <w:tc>
          <w:tcPr>
            <w:tcW w:w="1130" w:type="dxa"/>
            <w:shd w:val="clear" w:color="auto" w:fill="FFFFFF"/>
          </w:tcPr>
          <w:p w:rsidR="004026F7" w:rsidRPr="00DE78DB" w:rsidRDefault="00DE78DB" w:rsidP="00DA4E27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78DB">
              <w:rPr>
                <w:rStyle w:val="s58"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DE78DB" w:rsidRPr="004026F7" w:rsidTr="00DE78DB"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4026F7">
            <w:pPr>
              <w:pStyle w:val="s4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1.1.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6843F0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 xml:space="preserve">Выполняемость </w:t>
            </w:r>
            <w:r w:rsidR="00A570E3">
              <w:rPr>
                <w:rStyle w:val="s68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212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E78DB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Ввн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= (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Рф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/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Рп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)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x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100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4026F7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Ввн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выполняемость </w:t>
            </w:r>
            <w:r w:rsidR="006843F0">
              <w:rPr>
                <w:rStyle w:val="s68"/>
                <w:sz w:val="28"/>
                <w:szCs w:val="28"/>
              </w:rPr>
              <w:t xml:space="preserve">внеплановых </w:t>
            </w:r>
            <w:r w:rsidR="00A570E3">
              <w:rPr>
                <w:rStyle w:val="s68"/>
                <w:sz w:val="28"/>
                <w:szCs w:val="28"/>
              </w:rPr>
              <w:t xml:space="preserve">контрольных мероприятий </w:t>
            </w:r>
          </w:p>
          <w:p w:rsidR="00DE78DB" w:rsidRPr="00DE78DB" w:rsidRDefault="00DE78DB" w:rsidP="004026F7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Рф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проведенных </w:t>
            </w:r>
            <w:r w:rsidR="006843F0">
              <w:rPr>
                <w:rStyle w:val="s68"/>
                <w:sz w:val="28"/>
                <w:szCs w:val="28"/>
              </w:rPr>
              <w:t xml:space="preserve">внеплановых </w:t>
            </w:r>
            <w:r w:rsidR="00A570E3">
              <w:rPr>
                <w:rStyle w:val="s68"/>
                <w:sz w:val="28"/>
                <w:szCs w:val="28"/>
              </w:rPr>
              <w:t xml:space="preserve">контрольных мероприятий </w:t>
            </w:r>
            <w:r w:rsidRPr="00DE78DB">
              <w:rPr>
                <w:rStyle w:val="s68"/>
                <w:sz w:val="28"/>
                <w:szCs w:val="28"/>
              </w:rPr>
              <w:t>(ед.)</w:t>
            </w:r>
          </w:p>
          <w:p w:rsidR="00DE78DB" w:rsidRPr="00DE78DB" w:rsidRDefault="00DE78DB" w:rsidP="006843F0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Рп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приказов </w:t>
            </w:r>
            <w:r w:rsidRPr="00DE78DB">
              <w:rPr>
                <w:rStyle w:val="s68"/>
                <w:sz w:val="28"/>
                <w:szCs w:val="28"/>
              </w:rPr>
              <w:lastRenderedPageBreak/>
              <w:t>контрольного ор</w:t>
            </w:r>
            <w:r w:rsidR="006843F0">
              <w:rPr>
                <w:rStyle w:val="s68"/>
                <w:sz w:val="28"/>
                <w:szCs w:val="28"/>
              </w:rPr>
              <w:t>гана на проведение внеплановых контрольных мероприятий</w:t>
            </w:r>
            <w:r w:rsidRPr="00DE78DB">
              <w:rPr>
                <w:rStyle w:val="s68"/>
                <w:sz w:val="28"/>
                <w:szCs w:val="28"/>
              </w:rPr>
              <w:t xml:space="preserve"> (ед.)</w:t>
            </w:r>
          </w:p>
        </w:tc>
        <w:tc>
          <w:tcPr>
            <w:tcW w:w="11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236781">
            <w:pPr>
              <w:pStyle w:val="s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lastRenderedPageBreak/>
              <w:t>100%</w:t>
            </w:r>
          </w:p>
        </w:tc>
      </w:tr>
      <w:tr w:rsidR="00DE78DB" w:rsidRPr="004026F7" w:rsidTr="00DE78DB">
        <w:trPr>
          <w:trHeight w:val="1097"/>
        </w:trPr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642671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Доля</w:t>
            </w:r>
            <w:r w:rsidR="00A570E3">
              <w:rPr>
                <w:rStyle w:val="s68"/>
                <w:sz w:val="28"/>
                <w:szCs w:val="28"/>
              </w:rPr>
              <w:t xml:space="preserve"> контрольных мероприятий</w:t>
            </w:r>
            <w:r w:rsidRPr="00DE78DB">
              <w:rPr>
                <w:rStyle w:val="s68"/>
                <w:sz w:val="28"/>
                <w:szCs w:val="28"/>
              </w:rPr>
              <w:t>, на результаты которых поданы жалобы</w:t>
            </w:r>
          </w:p>
        </w:tc>
        <w:tc>
          <w:tcPr>
            <w:tcW w:w="212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E78DB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 xml:space="preserve">Ж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x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100 /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4026F7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 xml:space="preserve">Ж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жалоб (ед.)</w:t>
            </w:r>
          </w:p>
          <w:p w:rsidR="00DE78DB" w:rsidRPr="00DE78DB" w:rsidRDefault="00DE78DB" w:rsidP="006843F0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Пф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проведенных </w:t>
            </w:r>
            <w:r w:rsidR="006843F0">
              <w:rPr>
                <w:rStyle w:val="s68"/>
                <w:sz w:val="28"/>
                <w:szCs w:val="28"/>
              </w:rPr>
              <w:t xml:space="preserve">контрольных мероприятий </w:t>
            </w:r>
          </w:p>
        </w:tc>
        <w:tc>
          <w:tcPr>
            <w:tcW w:w="11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0%</w:t>
            </w:r>
          </w:p>
        </w:tc>
      </w:tr>
      <w:tr w:rsidR="00DE78DB" w:rsidRPr="004026F7" w:rsidTr="00DE78DB"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1.4.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642671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Доля</w:t>
            </w:r>
            <w:r w:rsidR="00A570E3">
              <w:rPr>
                <w:rStyle w:val="s68"/>
                <w:sz w:val="28"/>
                <w:szCs w:val="28"/>
              </w:rPr>
              <w:t xml:space="preserve"> контрольных мероприятий</w:t>
            </w:r>
            <w:r w:rsidRPr="00DE78DB">
              <w:rPr>
                <w:rStyle w:val="s68"/>
                <w:sz w:val="28"/>
                <w:szCs w:val="28"/>
              </w:rPr>
              <w:t>, результаты которых были признаны недействительными</w:t>
            </w:r>
          </w:p>
        </w:tc>
        <w:tc>
          <w:tcPr>
            <w:tcW w:w="212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E78DB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Пн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x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100 /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4026F7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Пн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</w:t>
            </w:r>
            <w:r w:rsidR="00A570E3">
              <w:rPr>
                <w:rStyle w:val="s68"/>
                <w:sz w:val="28"/>
                <w:szCs w:val="28"/>
              </w:rPr>
              <w:t xml:space="preserve"> контрольных мероприятий</w:t>
            </w:r>
            <w:r w:rsidRPr="00DE78DB">
              <w:rPr>
                <w:rStyle w:val="s68"/>
                <w:sz w:val="28"/>
                <w:szCs w:val="28"/>
              </w:rPr>
              <w:t>, признанных недействительными (ед.)</w:t>
            </w:r>
          </w:p>
          <w:p w:rsidR="00DE78DB" w:rsidRPr="00DE78DB" w:rsidRDefault="00DE78DB" w:rsidP="006843F0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Пф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="006843F0"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проведенных </w:t>
            </w:r>
            <w:r w:rsidR="00A570E3">
              <w:rPr>
                <w:rStyle w:val="s68"/>
                <w:sz w:val="28"/>
                <w:szCs w:val="28"/>
              </w:rPr>
              <w:t xml:space="preserve">контрольных мероприятий </w:t>
            </w:r>
            <w:r w:rsidRPr="00DE78DB">
              <w:rPr>
                <w:rStyle w:val="s68"/>
                <w:sz w:val="28"/>
                <w:szCs w:val="28"/>
              </w:rPr>
              <w:t>(ед.)</w:t>
            </w:r>
          </w:p>
        </w:tc>
        <w:tc>
          <w:tcPr>
            <w:tcW w:w="11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0%</w:t>
            </w:r>
          </w:p>
        </w:tc>
      </w:tr>
      <w:tr w:rsidR="00DE78DB" w:rsidRPr="004026F7" w:rsidTr="00DE78DB"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F334D6" w:rsidP="00DA4E27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68"/>
                <w:sz w:val="28"/>
                <w:szCs w:val="28"/>
              </w:rPr>
              <w:t>1.5</w:t>
            </w:r>
            <w:r w:rsidR="00DE78DB" w:rsidRPr="00DE78DB">
              <w:rPr>
                <w:rStyle w:val="s68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642671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Доля заявлений, направленных на согласование в прокуратуру о проведении</w:t>
            </w:r>
            <w:r w:rsidR="006843F0">
              <w:rPr>
                <w:rStyle w:val="s68"/>
                <w:sz w:val="28"/>
                <w:szCs w:val="28"/>
              </w:rPr>
              <w:t xml:space="preserve"> внеплановых контрольных мероприятий</w:t>
            </w:r>
            <w:r w:rsidRPr="00DE78DB">
              <w:rPr>
                <w:rStyle w:val="s68"/>
                <w:sz w:val="28"/>
                <w:szCs w:val="28"/>
              </w:rPr>
              <w:t>, в согласовании которых было отказано</w:t>
            </w:r>
          </w:p>
        </w:tc>
        <w:tc>
          <w:tcPr>
            <w:tcW w:w="212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Кзо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х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100 /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4026F7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Кзо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заявлений, по которым пришел отказ в согласовании (ед.)</w:t>
            </w:r>
          </w:p>
          <w:p w:rsidR="00DE78DB" w:rsidRPr="00DE78DB" w:rsidRDefault="00DE78DB" w:rsidP="004026F7">
            <w:pPr>
              <w:pStyle w:val="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Кпз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поданных на согласование заявлений</w:t>
            </w:r>
          </w:p>
        </w:tc>
        <w:tc>
          <w:tcPr>
            <w:tcW w:w="11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10</w:t>
            </w:r>
            <w:r w:rsidR="00F334D6">
              <w:rPr>
                <w:rStyle w:val="s68"/>
                <w:sz w:val="28"/>
                <w:szCs w:val="28"/>
              </w:rPr>
              <w:t>0</w:t>
            </w:r>
            <w:r w:rsidRPr="00DE78DB">
              <w:rPr>
                <w:rStyle w:val="s68"/>
                <w:sz w:val="28"/>
                <w:szCs w:val="28"/>
              </w:rPr>
              <w:t>%</w:t>
            </w:r>
          </w:p>
        </w:tc>
      </w:tr>
      <w:tr w:rsidR="00DE78DB" w:rsidRPr="004026F7" w:rsidTr="00DE78DB"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F334D6" w:rsidP="00DA4E27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68"/>
                <w:sz w:val="28"/>
                <w:szCs w:val="28"/>
              </w:rPr>
              <w:t>1.6</w:t>
            </w:r>
            <w:r w:rsidR="00DE78DB" w:rsidRPr="00DE78DB">
              <w:rPr>
                <w:rStyle w:val="s68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642671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Доля</w:t>
            </w:r>
            <w:r w:rsidR="006843F0">
              <w:rPr>
                <w:rStyle w:val="s68"/>
                <w:sz w:val="28"/>
                <w:szCs w:val="28"/>
              </w:rPr>
              <w:t xml:space="preserve"> контрольных мероприятий</w:t>
            </w:r>
            <w:r w:rsidRPr="00DE78DB">
              <w:rPr>
                <w:rStyle w:val="s68"/>
                <w:sz w:val="28"/>
                <w:szCs w:val="28"/>
              </w:rPr>
              <w:t>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12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E78DB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Кнм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х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100 / </w:t>
            </w:r>
            <w:proofErr w:type="spellStart"/>
            <w:r w:rsidRPr="00DE78DB">
              <w:rPr>
                <w:rStyle w:val="s68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 xml:space="preserve">К нм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материалов, направленных в уполномоченные органы (ед.)</w:t>
            </w:r>
          </w:p>
          <w:p w:rsidR="00DE78DB" w:rsidRPr="00DE78DB" w:rsidRDefault="00DE78DB" w:rsidP="00236781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E78DB">
              <w:rPr>
                <w:rStyle w:val="s68"/>
                <w:sz w:val="28"/>
                <w:szCs w:val="28"/>
              </w:rPr>
              <w:t>Квн</w:t>
            </w:r>
            <w:proofErr w:type="spellEnd"/>
            <w:r w:rsidRPr="00DE78DB">
              <w:rPr>
                <w:rStyle w:val="s68"/>
                <w:sz w:val="28"/>
                <w:szCs w:val="28"/>
              </w:rPr>
              <w:t xml:space="preserve"> </w:t>
            </w:r>
            <w:r w:rsidRPr="00DE78DB">
              <w:rPr>
                <w:bCs/>
                <w:sz w:val="28"/>
                <w:szCs w:val="28"/>
              </w:rPr>
              <w:t>−</w:t>
            </w:r>
            <w:r w:rsidRPr="00DE78DB">
              <w:rPr>
                <w:rStyle w:val="s68"/>
                <w:sz w:val="28"/>
                <w:szCs w:val="28"/>
              </w:rPr>
              <w:t xml:space="preserve"> количество выявленных нарушений (ед.)</w:t>
            </w:r>
          </w:p>
        </w:tc>
        <w:tc>
          <w:tcPr>
            <w:tcW w:w="11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100%</w:t>
            </w:r>
          </w:p>
        </w:tc>
      </w:tr>
      <w:tr w:rsidR="00DE78DB" w:rsidRPr="004026F7" w:rsidTr="007169CF">
        <w:trPr>
          <w:trHeight w:val="953"/>
        </w:trPr>
        <w:tc>
          <w:tcPr>
            <w:tcW w:w="704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F334D6" w:rsidP="00DA4E27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s68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Style w:val="s68"/>
                <w:sz w:val="28"/>
                <w:szCs w:val="28"/>
              </w:rPr>
              <w:t>.7</w:t>
            </w:r>
            <w:r w:rsidR="00DE78DB" w:rsidRPr="00DE78DB">
              <w:rPr>
                <w:rStyle w:val="s68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642671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6843F0" w:rsidP="006843F0">
            <w:pPr>
              <w:pStyle w:val="s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E78DB" w:rsidRPr="00DE78DB" w:rsidRDefault="00DE78DB" w:rsidP="00DA4E27">
            <w:pPr>
              <w:pStyle w:val="s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E78DB">
              <w:rPr>
                <w:rStyle w:val="s68"/>
                <w:sz w:val="28"/>
                <w:szCs w:val="28"/>
              </w:rPr>
              <w:t>Шт.</w:t>
            </w:r>
          </w:p>
        </w:tc>
      </w:tr>
    </w:tbl>
    <w:p w:rsidR="00216D34" w:rsidRDefault="00216D34" w:rsidP="00216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216D34" w:rsidSect="00080F56">
      <w:headerReference w:type="default" r:id="rId8"/>
      <w:pgSz w:w="11909" w:h="16834"/>
      <w:pgMar w:top="1134" w:right="567" w:bottom="851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5E" w:rsidRDefault="0061795E" w:rsidP="006B49C3">
      <w:pPr>
        <w:spacing w:after="0" w:line="240" w:lineRule="auto"/>
      </w:pPr>
      <w:r>
        <w:separator/>
      </w:r>
    </w:p>
  </w:endnote>
  <w:endnote w:type="continuationSeparator" w:id="0">
    <w:p w:rsidR="0061795E" w:rsidRDefault="0061795E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5E" w:rsidRDefault="0061795E" w:rsidP="006B49C3">
      <w:pPr>
        <w:spacing w:after="0" w:line="240" w:lineRule="auto"/>
      </w:pPr>
      <w:r>
        <w:separator/>
      </w:r>
    </w:p>
  </w:footnote>
  <w:footnote w:type="continuationSeparator" w:id="0">
    <w:p w:rsidR="0061795E" w:rsidRDefault="0061795E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C27A3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26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80F56"/>
    <w:rsid w:val="00081ADC"/>
    <w:rsid w:val="00082E6A"/>
    <w:rsid w:val="00085E0C"/>
    <w:rsid w:val="000925FD"/>
    <w:rsid w:val="000A5BC4"/>
    <w:rsid w:val="000A7645"/>
    <w:rsid w:val="000B2C38"/>
    <w:rsid w:val="000D4FDE"/>
    <w:rsid w:val="000D79C6"/>
    <w:rsid w:val="000F079E"/>
    <w:rsid w:val="000F49D8"/>
    <w:rsid w:val="00106A58"/>
    <w:rsid w:val="00114178"/>
    <w:rsid w:val="001200BF"/>
    <w:rsid w:val="00122D9D"/>
    <w:rsid w:val="00130FD6"/>
    <w:rsid w:val="00150461"/>
    <w:rsid w:val="001669C0"/>
    <w:rsid w:val="00174733"/>
    <w:rsid w:val="00176F4C"/>
    <w:rsid w:val="00177E0F"/>
    <w:rsid w:val="001A2466"/>
    <w:rsid w:val="001A358B"/>
    <w:rsid w:val="001A4D60"/>
    <w:rsid w:val="001B149B"/>
    <w:rsid w:val="001D18A8"/>
    <w:rsid w:val="001D2445"/>
    <w:rsid w:val="001D3E7C"/>
    <w:rsid w:val="001E2F42"/>
    <w:rsid w:val="001F7606"/>
    <w:rsid w:val="002005F9"/>
    <w:rsid w:val="00216D34"/>
    <w:rsid w:val="0022277D"/>
    <w:rsid w:val="00224D76"/>
    <w:rsid w:val="00227BA7"/>
    <w:rsid w:val="002366DE"/>
    <w:rsid w:val="00236781"/>
    <w:rsid w:val="00242EAC"/>
    <w:rsid w:val="002451A2"/>
    <w:rsid w:val="00245980"/>
    <w:rsid w:val="00251686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1D56"/>
    <w:rsid w:val="0035638A"/>
    <w:rsid w:val="0036647B"/>
    <w:rsid w:val="0037568E"/>
    <w:rsid w:val="00394C54"/>
    <w:rsid w:val="003A6652"/>
    <w:rsid w:val="003A6759"/>
    <w:rsid w:val="003B1A95"/>
    <w:rsid w:val="003C7E41"/>
    <w:rsid w:val="003F20D2"/>
    <w:rsid w:val="004026F7"/>
    <w:rsid w:val="0040329F"/>
    <w:rsid w:val="004073F6"/>
    <w:rsid w:val="00433724"/>
    <w:rsid w:val="0044150F"/>
    <w:rsid w:val="00443234"/>
    <w:rsid w:val="0044372B"/>
    <w:rsid w:val="0047172D"/>
    <w:rsid w:val="004721DD"/>
    <w:rsid w:val="00486B83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809FE"/>
    <w:rsid w:val="005846B2"/>
    <w:rsid w:val="00585D85"/>
    <w:rsid w:val="00591A49"/>
    <w:rsid w:val="00591FCF"/>
    <w:rsid w:val="005B1FE2"/>
    <w:rsid w:val="005B4E45"/>
    <w:rsid w:val="005B55CA"/>
    <w:rsid w:val="005B6FD3"/>
    <w:rsid w:val="005B7183"/>
    <w:rsid w:val="005C376D"/>
    <w:rsid w:val="005C796B"/>
    <w:rsid w:val="005D6BD2"/>
    <w:rsid w:val="00600C0A"/>
    <w:rsid w:val="0061795E"/>
    <w:rsid w:val="00632727"/>
    <w:rsid w:val="00642671"/>
    <w:rsid w:val="00642E15"/>
    <w:rsid w:val="006463F9"/>
    <w:rsid w:val="00650A25"/>
    <w:rsid w:val="00666C52"/>
    <w:rsid w:val="00666E08"/>
    <w:rsid w:val="006843F0"/>
    <w:rsid w:val="00693A6A"/>
    <w:rsid w:val="00695D4E"/>
    <w:rsid w:val="006A4051"/>
    <w:rsid w:val="006A4FC3"/>
    <w:rsid w:val="006B05AB"/>
    <w:rsid w:val="006B0E2B"/>
    <w:rsid w:val="006B49C3"/>
    <w:rsid w:val="006F0901"/>
    <w:rsid w:val="007007C1"/>
    <w:rsid w:val="00701B3E"/>
    <w:rsid w:val="007169CF"/>
    <w:rsid w:val="007239CF"/>
    <w:rsid w:val="00724295"/>
    <w:rsid w:val="00725A08"/>
    <w:rsid w:val="00755DD3"/>
    <w:rsid w:val="0076563F"/>
    <w:rsid w:val="00771279"/>
    <w:rsid w:val="00784455"/>
    <w:rsid w:val="007A2515"/>
    <w:rsid w:val="007C1E44"/>
    <w:rsid w:val="007C634D"/>
    <w:rsid w:val="007E20D4"/>
    <w:rsid w:val="007E53F6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90548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46109"/>
    <w:rsid w:val="00953978"/>
    <w:rsid w:val="00963F03"/>
    <w:rsid w:val="00974C0D"/>
    <w:rsid w:val="009A576E"/>
    <w:rsid w:val="009B002C"/>
    <w:rsid w:val="009B7D02"/>
    <w:rsid w:val="009E6558"/>
    <w:rsid w:val="00A012AE"/>
    <w:rsid w:val="00A01673"/>
    <w:rsid w:val="00A31A42"/>
    <w:rsid w:val="00A42E11"/>
    <w:rsid w:val="00A570E3"/>
    <w:rsid w:val="00A66F5E"/>
    <w:rsid w:val="00A72A1F"/>
    <w:rsid w:val="00A7326E"/>
    <w:rsid w:val="00A75C4A"/>
    <w:rsid w:val="00A765FB"/>
    <w:rsid w:val="00AA683E"/>
    <w:rsid w:val="00AB014F"/>
    <w:rsid w:val="00AB208B"/>
    <w:rsid w:val="00AB474F"/>
    <w:rsid w:val="00AB6AE0"/>
    <w:rsid w:val="00AC7917"/>
    <w:rsid w:val="00B05108"/>
    <w:rsid w:val="00B07594"/>
    <w:rsid w:val="00B1518E"/>
    <w:rsid w:val="00B264F7"/>
    <w:rsid w:val="00B359E8"/>
    <w:rsid w:val="00B3620D"/>
    <w:rsid w:val="00B479AB"/>
    <w:rsid w:val="00B65183"/>
    <w:rsid w:val="00B653C3"/>
    <w:rsid w:val="00B66FE1"/>
    <w:rsid w:val="00B71BCB"/>
    <w:rsid w:val="00B74CD0"/>
    <w:rsid w:val="00B769B5"/>
    <w:rsid w:val="00B77638"/>
    <w:rsid w:val="00B82D84"/>
    <w:rsid w:val="00B839D8"/>
    <w:rsid w:val="00B9631A"/>
    <w:rsid w:val="00BA47FB"/>
    <w:rsid w:val="00BB74BD"/>
    <w:rsid w:val="00BC187D"/>
    <w:rsid w:val="00BD254A"/>
    <w:rsid w:val="00BD5794"/>
    <w:rsid w:val="00BF0A98"/>
    <w:rsid w:val="00C03C73"/>
    <w:rsid w:val="00C06A4B"/>
    <w:rsid w:val="00C23B67"/>
    <w:rsid w:val="00C247EA"/>
    <w:rsid w:val="00C27A38"/>
    <w:rsid w:val="00C3052D"/>
    <w:rsid w:val="00C3107B"/>
    <w:rsid w:val="00C43062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D11A4E"/>
    <w:rsid w:val="00D1217B"/>
    <w:rsid w:val="00D14961"/>
    <w:rsid w:val="00D230E2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90960"/>
    <w:rsid w:val="00DA16F4"/>
    <w:rsid w:val="00DB2B08"/>
    <w:rsid w:val="00DB761E"/>
    <w:rsid w:val="00DD1843"/>
    <w:rsid w:val="00DD4F31"/>
    <w:rsid w:val="00DE5BB7"/>
    <w:rsid w:val="00DE78DB"/>
    <w:rsid w:val="00E06C75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C461C"/>
    <w:rsid w:val="00EE7D3D"/>
    <w:rsid w:val="00EF191B"/>
    <w:rsid w:val="00F334D6"/>
    <w:rsid w:val="00F34725"/>
    <w:rsid w:val="00F3482F"/>
    <w:rsid w:val="00F3526C"/>
    <w:rsid w:val="00F66D1A"/>
    <w:rsid w:val="00F74880"/>
    <w:rsid w:val="00F9371D"/>
    <w:rsid w:val="00F937FB"/>
    <w:rsid w:val="00F972A9"/>
    <w:rsid w:val="00FA5B7C"/>
    <w:rsid w:val="00FB633B"/>
    <w:rsid w:val="00FD55AD"/>
    <w:rsid w:val="00FE4EFF"/>
    <w:rsid w:val="00FE67A8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4">
    <w:name w:val="s4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7">
    <w:name w:val="s7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3">
    <w:name w:val="s33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40">
    <w:name w:val="s40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9">
    <w:name w:val="s59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1">
    <w:name w:val="s61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2">
    <w:name w:val="s62"/>
    <w:basedOn w:val="a"/>
    <w:rsid w:val="002367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36781"/>
  </w:style>
  <w:style w:type="character" w:customStyle="1" w:styleId="s11">
    <w:name w:val="s11"/>
    <w:basedOn w:val="a0"/>
    <w:rsid w:val="00236781"/>
  </w:style>
  <w:style w:type="character" w:customStyle="1" w:styleId="s58">
    <w:name w:val="s58"/>
    <w:basedOn w:val="a0"/>
    <w:rsid w:val="00236781"/>
  </w:style>
  <w:style w:type="character" w:customStyle="1" w:styleId="s67">
    <w:name w:val="s67"/>
    <w:basedOn w:val="a0"/>
    <w:rsid w:val="00236781"/>
  </w:style>
  <w:style w:type="character" w:customStyle="1" w:styleId="s68">
    <w:name w:val="s68"/>
    <w:basedOn w:val="a0"/>
    <w:rsid w:val="0023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5C7D-4314-468D-936D-4332506C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Светалана А. Воробьева</cp:lastModifiedBy>
  <cp:revision>3</cp:revision>
  <cp:lastPrinted>2021-11-17T08:32:00Z</cp:lastPrinted>
  <dcterms:created xsi:type="dcterms:W3CDTF">2021-11-16T08:56:00Z</dcterms:created>
  <dcterms:modified xsi:type="dcterms:W3CDTF">2021-11-17T08:39:00Z</dcterms:modified>
</cp:coreProperties>
</file>