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BA" w:rsidRPr="001B46F4" w:rsidRDefault="001B46F4" w:rsidP="001B46F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pacing w:val="-11"/>
          <w:sz w:val="28"/>
          <w:szCs w:val="28"/>
          <w:lang w:eastAsia="ru-RU"/>
        </w:rPr>
      </w:pPr>
      <w:r w:rsidRPr="001B46F4">
        <w:rPr>
          <w:rFonts w:ascii="Times New Roman" w:hAnsi="Times New Roman"/>
          <w:noProof/>
          <w:sz w:val="28"/>
          <w:szCs w:val="28"/>
          <w:lang w:eastAsia="ru-RU"/>
        </w:rPr>
        <w:t>Сводная редакция</w:t>
      </w:r>
    </w:p>
    <w:p w:rsidR="001B46F4" w:rsidRDefault="001B46F4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7A7" w:rsidRPr="001B46F4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КОМИТЕТ ПО СОЦИАЛЬНОЙ ПОДДЕРЖКЕ </w:t>
      </w:r>
    </w:p>
    <w:p w:rsidR="00C567A7" w:rsidRPr="001B46F4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НАСЕЛЕНИЯ ГОРОДА БАРНАУЛА</w:t>
      </w:r>
    </w:p>
    <w:p w:rsidR="00C567A7" w:rsidRPr="001B46F4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67A7" w:rsidRPr="001B46F4" w:rsidRDefault="00C567A7" w:rsidP="00C567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Р И К А З</w:t>
      </w:r>
    </w:p>
    <w:p w:rsidR="00661D38" w:rsidRPr="001B46F4" w:rsidRDefault="00661D38" w:rsidP="00661D3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BD7">
        <w:rPr>
          <w:rFonts w:ascii="Times New Roman" w:hAnsi="Times New Roman"/>
          <w:sz w:val="28"/>
          <w:szCs w:val="28"/>
        </w:rPr>
        <w:t>17.12.2020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215BD7">
        <w:rPr>
          <w:rFonts w:ascii="Times New Roman" w:hAnsi="Times New Roman"/>
          <w:sz w:val="28"/>
          <w:szCs w:val="28"/>
        </w:rPr>
        <w:t xml:space="preserve"> №22</w:t>
      </w:r>
    </w:p>
    <w:p w:rsid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15BD7">
        <w:rPr>
          <w:rFonts w:ascii="Times New Roman" w:hAnsi="Times New Roman"/>
          <w:sz w:val="28"/>
          <w:szCs w:val="28"/>
        </w:rPr>
        <w:t xml:space="preserve">Об утверждении Положения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215BD7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215BD7">
        <w:rPr>
          <w:rFonts w:ascii="Times New Roman" w:hAnsi="Times New Roman"/>
          <w:sz w:val="28"/>
          <w:szCs w:val="28"/>
        </w:rPr>
        <w:t>)</w:t>
      </w:r>
    </w:p>
    <w:p w:rsid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46F4" w:rsidRP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6F4">
        <w:rPr>
          <w:rFonts w:ascii="Times New Roman" w:hAnsi="Times New Roman"/>
          <w:sz w:val="28"/>
          <w:szCs w:val="28"/>
        </w:rPr>
        <w:t xml:space="preserve">Список изменяющих документов </w:t>
      </w:r>
    </w:p>
    <w:p w:rsidR="00661D38" w:rsidRPr="001B46F4" w:rsidRDefault="001B46F4" w:rsidP="001B46F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6F4">
        <w:rPr>
          <w:rFonts w:ascii="Times New Roman" w:hAnsi="Times New Roman"/>
          <w:sz w:val="28"/>
          <w:szCs w:val="28"/>
        </w:rPr>
        <w:t xml:space="preserve">(в ред. </w:t>
      </w:r>
      <w:r>
        <w:rPr>
          <w:rFonts w:ascii="Times New Roman" w:hAnsi="Times New Roman"/>
          <w:sz w:val="28"/>
          <w:szCs w:val="28"/>
        </w:rPr>
        <w:t>приказов комитета по социальной поддержке населения</w:t>
      </w:r>
      <w:r w:rsidRPr="001B46F4">
        <w:rPr>
          <w:rFonts w:ascii="Times New Roman" w:hAnsi="Times New Roman"/>
          <w:sz w:val="28"/>
          <w:szCs w:val="28"/>
        </w:rPr>
        <w:t xml:space="preserve"> города Барнаула от </w:t>
      </w:r>
      <w:r>
        <w:rPr>
          <w:rFonts w:ascii="Times New Roman" w:hAnsi="Times New Roman"/>
          <w:sz w:val="28"/>
          <w:szCs w:val="28"/>
        </w:rPr>
        <w:t>26</w:t>
      </w:r>
      <w:r w:rsidRPr="001B46F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04</w:t>
      </w:r>
      <w:r w:rsidRPr="001B46F4">
        <w:rPr>
          <w:rFonts w:ascii="Times New Roman" w:hAnsi="Times New Roman"/>
          <w:sz w:val="28"/>
          <w:szCs w:val="28"/>
        </w:rPr>
        <w:t xml:space="preserve">.2021 №8, </w:t>
      </w:r>
      <w:r w:rsidRPr="001974A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9</w:t>
      </w:r>
      <w:r w:rsidRPr="001974A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08</w:t>
      </w:r>
      <w:r w:rsidRPr="001974A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2</w:t>
      </w:r>
      <w:r w:rsidRPr="001974A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14</w:t>
      </w:r>
      <w:r w:rsidR="00355B92">
        <w:rPr>
          <w:rFonts w:ascii="Times New Roman" w:hAnsi="Times New Roman"/>
          <w:sz w:val="28"/>
          <w:szCs w:val="28"/>
        </w:rPr>
        <w:t>, 29.11.2022 №27</w:t>
      </w:r>
      <w:r w:rsidRPr="001974A9">
        <w:rPr>
          <w:rFonts w:ascii="Times New Roman" w:hAnsi="Times New Roman"/>
          <w:sz w:val="28"/>
          <w:szCs w:val="28"/>
        </w:rPr>
        <w:t>)</w:t>
      </w:r>
    </w:p>
    <w:p w:rsidR="001B46F4" w:rsidRPr="00215BD7" w:rsidRDefault="001B46F4" w:rsidP="00215B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85D2B" w:rsidRPr="00215BD7" w:rsidRDefault="00C85D2B" w:rsidP="00215B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864DB" w:rsidRPr="00215BD7" w:rsidRDefault="00F864DB" w:rsidP="00215BD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B82AAA" w:rsidRDefault="001B46F4" w:rsidP="001B46F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2AAA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B82AAA">
        <w:rPr>
          <w:rFonts w:ascii="Times New Roman" w:hAnsi="Times New Roman"/>
          <w:sz w:val="28"/>
          <w:szCs w:val="28"/>
        </w:rPr>
        <w:t>обеспечения исполнения Указа Президента Российской Федерации</w:t>
      </w:r>
      <w:proofErr w:type="gramEnd"/>
      <w:r w:rsidRPr="00B82AAA">
        <w:rPr>
          <w:rFonts w:ascii="Times New Roman" w:hAnsi="Times New Roman"/>
          <w:sz w:val="28"/>
          <w:szCs w:val="28"/>
        </w:rPr>
        <w:t xml:space="preserve"> от 21.12.2017 №618 «Об основных направлениях государственной политики по развитию конкуренции", в соответствии с распоряжением Правительства Алтайского края от 26.12.2018 №394-р «О мерах по созданию и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Федерации» </w:t>
      </w:r>
    </w:p>
    <w:p w:rsidR="001B46F4" w:rsidRPr="00B82AAA" w:rsidRDefault="001B46F4" w:rsidP="001B46F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2AAA">
        <w:rPr>
          <w:rFonts w:ascii="Times New Roman" w:hAnsi="Times New Roman"/>
          <w:sz w:val="28"/>
          <w:szCs w:val="28"/>
        </w:rPr>
        <w:t xml:space="preserve">ПРИКАЗЫВАЮ: </w:t>
      </w:r>
    </w:p>
    <w:p w:rsidR="001B46F4" w:rsidRPr="00B82AAA" w:rsidRDefault="001B46F4" w:rsidP="001B46F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82A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</w:t>
      </w:r>
      <w:r w:rsidRPr="00B82AAA">
        <w:rPr>
          <w:rFonts w:ascii="Times New Roman" w:hAnsi="Times New Roman"/>
          <w:sz w:val="28"/>
          <w:szCs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B82AAA">
        <w:rPr>
          <w:rFonts w:ascii="Times New Roman" w:hAnsi="Times New Roman"/>
          <w:sz w:val="28"/>
          <w:szCs w:val="28"/>
        </w:rPr>
        <w:t>комплаенса</w:t>
      </w:r>
      <w:proofErr w:type="spellEnd"/>
      <w:r w:rsidRPr="00B82AAA">
        <w:rPr>
          <w:rFonts w:ascii="Times New Roman" w:hAnsi="Times New Roman"/>
          <w:sz w:val="28"/>
          <w:szCs w:val="28"/>
        </w:rPr>
        <w:t>) (приложение).</w:t>
      </w:r>
    </w:p>
    <w:p w:rsidR="001B46F4" w:rsidRPr="00B82AAA" w:rsidRDefault="001B46F4" w:rsidP="001B46F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 xml:space="preserve">2. Главному специалисту комитета по социальной поддержке населения города Барнаула </w:t>
      </w:r>
      <w:proofErr w:type="spellStart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Полосину</w:t>
      </w:r>
      <w:proofErr w:type="spellEnd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 xml:space="preserve"> Е.С. обеспечить опубликование приказа в официальном сетевом издании «Правовой портал администрации </w:t>
      </w:r>
      <w:proofErr w:type="spellStart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.Б</w:t>
      </w:r>
      <w:proofErr w:type="gramEnd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арнаула</w:t>
      </w:r>
      <w:proofErr w:type="spellEnd"/>
      <w:r w:rsidRPr="00B82AAA">
        <w:rPr>
          <w:rFonts w:ascii="Times New Roman" w:eastAsia="Times New Roman" w:hAnsi="Times New Roman"/>
          <w:sz w:val="28"/>
          <w:szCs w:val="28"/>
          <w:lang w:eastAsia="ru-RU"/>
        </w:rPr>
        <w:t>» и размещение на официальном Интернет-сайте города Барнаула.</w:t>
      </w:r>
    </w:p>
    <w:p w:rsidR="001B46F4" w:rsidRPr="00E31EFE" w:rsidRDefault="001B46F4" w:rsidP="001B46F4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3. </w:t>
      </w:r>
      <w:proofErr w:type="gramStart"/>
      <w:r w:rsidRPr="00B82AA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82AAA">
        <w:rPr>
          <w:rFonts w:ascii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C567A7" w:rsidRPr="00215BD7" w:rsidRDefault="00C567A7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567A7" w:rsidRPr="00215BD7" w:rsidRDefault="00C567A7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E6AC8" w:rsidRDefault="00C567A7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>Председатель комитета</w:t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Pr="00215BD7">
        <w:rPr>
          <w:rFonts w:ascii="Times New Roman" w:eastAsia="Times New Roman" w:hAnsi="Times New Roman" w:cs="Arial"/>
          <w:sz w:val="28"/>
          <w:szCs w:val="28"/>
          <w:lang w:eastAsia="ru-RU"/>
        </w:rPr>
        <w:tab/>
        <w:t xml:space="preserve">   Т.Н. Королева</w:t>
      </w:r>
    </w:p>
    <w:p w:rsidR="001B46F4" w:rsidRDefault="001B46F4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B46F4" w:rsidRDefault="001B46F4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1B46F4" w:rsidRDefault="001B46F4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82A75" w:rsidRDefault="00D82A75" w:rsidP="00215B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  <w:sectPr w:rsidR="00D82A75" w:rsidSect="00277666">
          <w:headerReference w:type="default" r:id="rId8"/>
          <w:headerReference w:type="first" r:id="rId9"/>
          <w:pgSz w:w="11906" w:h="16838" w:code="9"/>
          <w:pgMar w:top="1134" w:right="851" w:bottom="1134" w:left="1985" w:header="709" w:footer="709" w:gutter="0"/>
          <w:cols w:space="708"/>
          <w:titlePg/>
          <w:docGrid w:linePitch="360"/>
        </w:sectPr>
      </w:pPr>
    </w:p>
    <w:p w:rsidR="001B46F4" w:rsidRPr="001B46F4" w:rsidRDefault="001B46F4" w:rsidP="001B46F4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</w:p>
    <w:p w:rsidR="001B46F4" w:rsidRPr="001B46F4" w:rsidRDefault="001B46F4" w:rsidP="001B46F4">
      <w:pPr>
        <w:spacing w:after="0" w:line="240" w:lineRule="auto"/>
        <w:ind w:left="504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 приказу комитета по социальной поддержке населения города Барнаула</w:t>
      </w:r>
    </w:p>
    <w:p w:rsidR="001B46F4" w:rsidRPr="001B46F4" w:rsidRDefault="001B46F4" w:rsidP="001B46F4">
      <w:pPr>
        <w:tabs>
          <w:tab w:val="left" w:pos="9360"/>
        </w:tabs>
        <w:spacing w:after="0" w:line="240" w:lineRule="auto"/>
        <w:ind w:left="5040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1B46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17.12.2020       </w:t>
      </w: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Pr="001B46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22</w:t>
      </w:r>
      <w:r w:rsidRPr="001B46F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ab/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Положение</w:t>
      </w:r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br/>
        <w:t xml:space="preserve">об организации системы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t xml:space="preserve">) </w:t>
      </w:r>
      <w:r w:rsidRPr="001B46F4">
        <w:rPr>
          <w:rFonts w:ascii="Times New Roman" w:eastAsia="Times New Roman" w:hAnsi="Times New Roman"/>
          <w:bCs/>
          <w:color w:val="26282F"/>
          <w:sz w:val="28"/>
          <w:szCs w:val="28"/>
          <w:lang w:eastAsia="ru-RU"/>
        </w:rPr>
        <w:br/>
        <w:t>в комитете по социальной поддержке населения города Барнаула</w:t>
      </w:r>
    </w:p>
    <w:p w:rsidR="001B46F4" w:rsidRPr="001B46F4" w:rsidRDefault="001B46F4" w:rsidP="001B4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46F4" w:rsidRPr="001B46F4" w:rsidRDefault="001B46F4" w:rsidP="001B4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" w:name="sub_101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1. Общие положения</w:t>
      </w:r>
    </w:p>
    <w:bookmarkEnd w:id="1"/>
    <w:p w:rsidR="001B46F4" w:rsidRPr="001B46F4" w:rsidRDefault="001B46F4" w:rsidP="001B4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sub_1011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1.1. Положение об организации системы внутреннего обеспечения соответствия требованиям </w:t>
      </w:r>
      <w:hyperlink r:id="rId10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(антимонопольного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) в комитете по социальной поддержке населения города Барнаула (далее – Положение) разработано в целях обеспечения деятельности комитета по социальной поддержке населения города Барнаула (далее – комитет) требованиям антимонопольного законодательства и профилактики нарушений требований антимонопольного законодательства в деятельности комитета.</w:t>
      </w:r>
    </w:p>
    <w:bookmarkEnd w:id="2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определяет порядок организации внутреннего обеспечения соответствия требованиям </w:t>
      </w:r>
      <w:hyperlink r:id="rId11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деятельности комитета по социальной поддержке населения города Барнаула (далее – антимонопольный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комитете).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sub_1012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1.2. Комитет при исполнении Положения обеспечивает решение задач, предусмотренных </w:t>
      </w:r>
      <w:hyperlink r:id="rId12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распоряжением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Правительства Российской Федерации от 18.10.2018 №2258-р «О методических рекомендациях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(далее – Методические рекомендации).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sub_1013"/>
      <w:bookmarkEnd w:id="3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1.3. Понятия в Положении используются в значениях, определенных в </w:t>
      </w:r>
      <w:hyperlink r:id="rId13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Методических рекомендациях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4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антимонопольном законодательстве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 и иных нормативных правовых актах о защите конкуренции.</w:t>
      </w:r>
    </w:p>
    <w:bookmarkEnd w:id="4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5" w:name="sub_102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Организация </w:t>
      </w:r>
      <w:proofErr w:type="gram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антимонопольного</w:t>
      </w:r>
      <w:proofErr w:type="gram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комитете</w:t>
      </w:r>
    </w:p>
    <w:bookmarkEnd w:id="5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sub_1021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2.1. Общий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организацией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и обеспечением его функционирования в комитете осуществляется заместителем председателя комитета, который:</w:t>
      </w:r>
    </w:p>
    <w:bookmarkEnd w:id="6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 вносит председателю комитета предложения о применении предусмотренных законодательством Российской Федерации мер ответственности за несоблюдение муниципальными служащими (работниками) комитета Положения;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организует принятие мер, направленных на устранение недостатков, выявленных в ходе функционирования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осуществляет контроль за устранением выявленных недостатков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антимонопольного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координирует деятельность муниципальных служащих (работников) комитета по вопросам создания и осуществления системы внутреннего обеспечения соответствия требованиям </w:t>
      </w:r>
      <w:hyperlink r:id="rId15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координирует сбор и направление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2.2. Функции уполномоченных лиц, ответственных за организацию и функционирование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комитете, распределяются между заместителем председателя комитета и муниципальными служащими (работниками) комитета.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2.3. К компетенции заместителя председателя комитета относится: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 взаимодействие с муниципальными служащими (работниками) комитета по вопросам, связанным с антимонопольным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комплаенсом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разработка плана мероприятий по снижению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 в комитете на основании информации, представленной муниципальными служащими (работниками) комитета;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7" w:name="sub_1024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предоставление через специалиста, осуществляющего ведение кадрового делопроизводства в комитете, </w:t>
      </w:r>
      <w:bookmarkEnd w:id="7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ознакомления под роспись муниципальных служащих (работников) комитета с муниципальными нормативными правовыми актами по вопросам создания и осуществления системы внутреннего обеспечения соответствия требованиям </w:t>
      </w:r>
      <w:hyperlink r:id="rId16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 предоставление через специалиста, осуществляющего ведение кадрового делопроизводства в комитете, ознакомления под роспись гражданина Российской Федерации при поступлении на муниципальную службу с муниципальными нормативными правовыми актами по вопросам создания и осуществления системы внутреннего обеспечения соответствия требованиям антимонопольного законодательства, в том числе при переводе на другую должность, если она предполагает исполнение других должностных обязанностей;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 организация систематического обучения муниципальных служащих (работников) комитета требованиям антимонопольного законодательства и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 реализация мероприятий по выявлению конфликта интересов в деятельности муниципальных служащих (работников) комитета, разработка предложений по их исключению.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2.4. К компетенции муниципальных служащих (работников) комитета относится: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составление перечня действующих муниципальных нормативных правовых актов комитета в целях выявления рисков нарушения </w:t>
      </w:r>
      <w:hyperlink r:id="rId17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, с указанием их источников опубликования;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проведение оценки достижения ключевых показателей эффективности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информации, предоставляемой в правовой комитет администрации города Барнаула в целях подготовки доклада о системе внутреннего обеспечения соответствия требованиям антимонопольного законодательства (антимонопольного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) в комитете в порядке, установленном приказом комитета.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8" w:name="sub_103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3. Порядок выявления и оценки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-рисков в деятельности комитета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9" w:name="sub_1031"/>
      <w:bookmarkEnd w:id="8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 В целях выявления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 комитет при осуществлении своей деятельности:</w:t>
      </w:r>
    </w:p>
    <w:bookmarkEnd w:id="9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3.1.1. Осуществляет анализ нарушений </w:t>
      </w:r>
      <w:hyperlink r:id="rId18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за предыдущие три года (наличие предостережений, предупреждений, штрафов, жалоб, возбужденных дел);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3.1.2. Выявляет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-риски, в том числе по результатам мониторинга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муниципальных нормативных правовых актов, разработчиком которых является комитет;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3.1.3. Выполняет мероприятия по снижению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-рисков, включенные в план мероприятий по снижению рисков нарушения </w:t>
      </w:r>
      <w:hyperlink r:id="rId19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3.1.4. 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Организует обсуждение соответствия проектов муниципальных нормативных правовых актов города, разработанных комитетом, требованиям </w:t>
      </w:r>
      <w:hyperlink r:id="rId20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путем их размещения на официальном Интернет-сайте города Барнаула, сбор и анализ замечаний и предложений организаций, граждан о выявленных в муниципальных нормативных правовых актах города положений, которые влекут нарушения антимонопольного законодательства;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3.1.5. Определяет по направлениям своей деятельности муниципальные нормативные правовые акты комитета, нормы которых могут повлечь нарушения </w:t>
      </w:r>
      <w:hyperlink r:id="rId21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sub_1032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3.2. Муниципальные служащие (работники) комитета направляют информацию о выполнении мероприятий, указанных в </w:t>
      </w:r>
      <w:hyperlink w:anchor="sub_1031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пункте 3.1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Положения, заместителю председателя комитета до 15 декабря отчетного года.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3.3. В целях выявления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3.3.1. Заместителем председателя комитета проводится: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а) анализ выявленных нарушений антимонопольного законодательства в деятельности комитета за предыдущие три года (наличие предостережений, предупреждений, штрафов, жалоб, возбужденных дел) в порядке, предусмотренном пунктом 3.4 Положения;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б) мониторинг и анализ практики применения комитетом муниципальных нормативных правовых актов, разработчиком которых является комитет, в порядке, предусмотренном пунктом 3.5 Положения;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3.3.2. Муниципальными служащими (работниками) комитета проводится анализ проектов муниципальных нормативных правовых актов города, разработчиком которых является комитет, при проведении их правовой и антикоррупционной экспертизы.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3.4. В целях проведения анализа выявленных нарушений антимонопольного законодательства в комитете за предыдущие три года (наличие предостережений, предупреждений, штрафов, жалоб, возбужденных дел) заместителем председателя комитета не позднее             15 января года, следующего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за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отчетным: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3.4.1. Проводится анализ сведений о наличии нарушений антимонопольного законодательства, поступивших в комитет;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3.4.2. 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Составляется перечень нарушений антимонопольного законодательства в комитете (при наличии), который содержит классифицированные по сферам деятельности сведения о выявленных за последние три года нарушениях антимонопольного законодательства (отдельно по каждому нарушению) 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Управлением Федеральной антимонопольной службы по Алтайскому краю, позиции антимонопольного органа, сведения о мерах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устранению нарушения, а также о мерах, направленных на недопущение повторения нарушения.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3.5. В целях проведения мониторинга и анализа практики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комитетом муниципальных нормативных правовых актов: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3.5.1. Заместитель председателя комитета: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 не позднее 1 февраля года, следующего за отчетным, составляет на основании информации, предоставленной муниципальными служащими (работниками) комитета, перечень муниципальных нормативных правовых актов комитета (далее – перечень актов), нормы которых могут повлечь нарушения антимонопольного законодательства в комитете, с указанием их источников опубликования;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- не позднее 1 марта года, следующего за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отчетным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, организует размещение перечня актов на официальном Интернет-сайте города Барнаула;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 в течение одного месяца со дня размещение перечня актов на официальном Интернет-сайте города Барнаула принимает обращения граждан и организаций о выявленных в муниципальных нормативных правовых актах комитета положений, которые влекут нарушение антимонопольного законодательства, проводит анализ поступивших предложений;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3.5.2. Муниципальные служащие (работники) комитета вносят заместителю председателя комитета предложения о внесении изменений, дополнений в муниципальные нормативные правовые акты, разработчиком которых является комитет, направленные на исключение положений, которые влекут нарушение антимонопольного законодательства.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3.6. В целях проведения мониторинга и анализа практики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правоприменения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нормативных правовых актов города, разработанных комитетом, муниципальных нормативных правовых актов комитета заместитель председателя комитета проводит оценку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Оценка выявленных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 проводится не позднее             15 января года, следующего за отчетным, с учетом показателей, предусмотренных Методическими рекомендациями.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Выявляемые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-риски распределяются по уровням согласно приложению к Методическим рекомендациям.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основе проведенной оценки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-рисков заместителем председателя комитета не позднее 05 февраля года, следующего за отчетным, составляется карта рисков, в которую включается описание рисков, оценка причин и условий их возникновения.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3.7. Обсуждение соответствия проектов муниципальных нормативных правовых актов, разработанных комитетом, муниципальных нормативных правовых актов комитета требованиям антимонопольного законодательства организуется путем проведения общественного обсуждения проектов муниципальных правовых актов города, комитета в порядке, установленном решением Барнаульской городской Думы.</w:t>
      </w:r>
    </w:p>
    <w:bookmarkEnd w:id="10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1" w:name="sub_104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4. Мероприятия по снижению рисков нарушения антимонопольного законодательства в комитете</w:t>
      </w:r>
    </w:p>
    <w:bookmarkEnd w:id="11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2" w:name="sub_1041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4.1. В целях снижения рисков нарушения </w:t>
      </w:r>
      <w:hyperlink r:id="rId22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заместитель председателя комитета ежегодно в срок не позднее 05 февраля года, на который планируются мероприятия, разрабатывает план мероприятий по снижению рисков нарушения антимонопольного законодательства в комитете. План мероприятий по снижению рисков нарушения антимонопольного законодательства в комитете утверждается председателем комитета.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3" w:name="sub_1042"/>
      <w:bookmarkEnd w:id="12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4.2. Муниципальные служащие (работники) комитета при осуществлении своих должностных обязанностей должны соблюдать требования </w:t>
      </w:r>
      <w:hyperlink r:id="rId23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, запреты на совершение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антиконкурентных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действий и предупреждать возникающие риски нарушения антимонопольного законодательства.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4.3. Муниципальные служащие (работники) комитета обязаны незамедлительно информировать заместителя председателя комитета, о рисках нарушения и выявленных нарушениях требований </w:t>
      </w:r>
      <w:hyperlink r:id="rId24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4.4. Заместитель председателя комитета, сообщает в срок не позднее одного рабочего дня с момента поступления ему информации о выявленных рисках нарушения требований антимонопольного законодательства сведения о выявленных рисках нарушения требований антимонопольного законодательства председателю комитета, а также представляет предложения по минимизации рисков либо устранению нарушения.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4.5. В течение одного месяца с момента поступления сведений, указанных в пункте 4.4 Положения, заместитель председателя комитета вносит изменения (корректировку) в действующий план мероприятий по снижению рисков нарушения антимонопольного законодательства в комитете, которые утверждаются председателем комитета.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4" w:name="sub_1043"/>
      <w:bookmarkEnd w:id="13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15" w:name="sub_1046"/>
      <w:bookmarkEnd w:id="14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4.6. Обучение муниципальных служащих (работников) комитета требованиям </w:t>
      </w:r>
      <w:hyperlink r:id="rId25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и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организует заместитель председателя комитета в случае выявления нарушения антимонопольного законодательства в срок не более одного месяца со дня утверждения изменений (корректировки) действующего плана мероприятий по снижению рисков нарушения антимонопольного законодательства в комитете.</w:t>
      </w:r>
    </w:p>
    <w:bookmarkEnd w:id="15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6" w:name="sub_105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5. Оценка организации и эффективности функционирования антимонопольного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комитете</w:t>
      </w:r>
    </w:p>
    <w:bookmarkEnd w:id="16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7" w:name="sub_1051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5.1. В целях оценки организации и эффективности функционирования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установлены ключевые показатели эффективности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 в соответствии с </w:t>
      </w:r>
      <w:hyperlink w:anchor="sub_1100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приложением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Положению (далее – ключевые показатели).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8" w:name="sub_1052"/>
      <w:bookmarkEnd w:id="17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5.2. Ключевыми показателями являются:</w:t>
      </w:r>
    </w:p>
    <w:bookmarkEnd w:id="18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нарушений </w:t>
      </w:r>
      <w:hyperlink r:id="rId26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антимонопольного законодательства</w:t>
        </w:r>
      </w:hyperlink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комитета, в том числе совершенных должностными лицами комитета;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доля действующих муниципальных нормативных правовых актов (используемых в своей деятельности комитетом, в том числе разработчиком которых является комитет), проектов муниципальных нормативных правовых актов, в том числе разработанных комитетом,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выявлены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-риски.</w:t>
      </w:r>
    </w:p>
    <w:p w:rsidR="001B46F4" w:rsidRPr="001B46F4" w:rsidRDefault="001B46F4" w:rsidP="001B46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proofErr w:type="gram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председателя комитета ежегодно до 20 января на основе представленной муниципальными служащими (работниками) комитета информации, указанной в пункте 3.2 Положения, проводит оценку достижения ключевых показателей, которая отражается в информации, предоставляемой в правовой комитет администрации города Барнаула в целях подготовки доклада о системе внутреннего  обеспечения соответствия требованиям антимонопольного законодательства (антимонопольного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) в органах местного самоуправления города Барнаула.</w:t>
      </w:r>
      <w:proofErr w:type="gramEnd"/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19" w:name="sub_107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6. Ответственность муниципальных служащих комитета при осуществлении системы внутреннего обеспечения соответствия требованиям антимонопольного законодательства</w:t>
      </w:r>
    </w:p>
    <w:bookmarkEnd w:id="19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1B46F4" w:rsidRPr="001B46F4" w:rsidSect="00D82A75">
          <w:pgSz w:w="11906" w:h="16838" w:code="9"/>
          <w:pgMar w:top="1134" w:right="851" w:bottom="1134" w:left="1985" w:header="709" w:footer="709" w:gutter="0"/>
          <w:pgNumType w:start="1"/>
          <w:cols w:space="708"/>
          <w:titlePg/>
          <w:docGrid w:linePitch="360"/>
        </w:sectPr>
      </w:pPr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Муниципальные служащие (работники) комитета несут дисциплинарную ответственность в соответствии с законодательством Российской Федерации за неисполнение муниципальных правовых актов комитета и администрации города, регламентирующих процедуры и мероприятия антимонопольного </w:t>
      </w:r>
      <w:proofErr w:type="spellStart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комитете и администрации города.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0" w:name="sub_1100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к </w:t>
      </w:r>
      <w:hyperlink w:anchor="sub_1000" w:history="1">
        <w:r w:rsidRPr="001B46F4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Положению</w:t>
        </w:r>
      </w:hyperlink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 организации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системы внутреннего обеспечения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соответствия требованиям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антимонопольного законодательства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(антимонопольного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) в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комитете по социальной поддержке </w:t>
      </w: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населения города Барнаула</w:t>
      </w:r>
    </w:p>
    <w:bookmarkEnd w:id="20"/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46F4" w:rsidRP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Показатели</w:t>
      </w:r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 xml:space="preserve">эффективности функционирования антимонопольного </w:t>
      </w:r>
      <w:proofErr w:type="spellStart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>комплаенса</w:t>
      </w:r>
      <w:proofErr w:type="spellEnd"/>
      <w:r w:rsidRPr="001B46F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комитете</w:t>
      </w:r>
    </w:p>
    <w:p w:rsidR="001B46F4" w:rsidRDefault="001B46F4" w:rsidP="001B46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418"/>
        <w:gridCol w:w="992"/>
        <w:gridCol w:w="993"/>
        <w:gridCol w:w="992"/>
        <w:gridCol w:w="992"/>
        <w:gridCol w:w="6379"/>
      </w:tblGrid>
      <w:tr w:rsidR="00355B92" w:rsidRPr="00355B92" w:rsidTr="00E90E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 (план)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 (план)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 (план)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Методика расчета</w:t>
            </w:r>
          </w:p>
        </w:tc>
      </w:tr>
      <w:tr w:rsidR="00355B92" w:rsidRPr="00355B92" w:rsidTr="00E90E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355B92" w:rsidRPr="00355B92" w:rsidTr="00E90E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нарушений </w:t>
            </w:r>
            <w:hyperlink r:id="rId27" w:history="1">
              <w:r w:rsidRPr="00355B9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администрацией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Расчет показателя осуществляется по наличию у комитета нарушений </w:t>
            </w:r>
            <w:hyperlink r:id="rId28" w:history="1">
              <w:r w:rsidRPr="00355B9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решения о которых вступили в силу в отчетном периоде.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расчете показателя под нарушением антимонопольного законодательства комитета понимаются: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возбужденные антимонопольным органом дела в отношении комитета;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выданные комитету антимонопольным органом предупреждения о прекращении действий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последствий такого нарушения;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направленные комитету антимонопольным органом предостережения о недопустимости совершения действий, которые могут привести к нарушению антимонопольного законодательства.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  <w:tr w:rsidR="00355B92" w:rsidRPr="00355B92" w:rsidTr="00E90E8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Доля действующих муниципальных нормативных правовых актов (используемых в своей деятельности комитетом, в том числе разработчиком которых является комитет), проектов муниципальных нормативных правовых актов, в том числе разработанных комитетом, </w:t>
            </w:r>
            <w:proofErr w:type="gramStart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которых выявлены </w:t>
            </w:r>
            <w:proofErr w:type="spellStart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-риски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Расчет показателя осуществляется по формуле: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МНПА</w:t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(К</w:t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МНПА</w:t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+ К</w:t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ПМНПА</w:t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/ (К</w:t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>ПА</w:t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x 100, где: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7CC88E4" wp14:editId="1CAC5B70">
                  <wp:extent cx="542925" cy="2476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доля муниципальных нормативных правовых актов (используемых в своей деятельности комитетом, в том числе разработчиком которых является комитет) и проектов муниципальных нормативных правовых актов</w:t>
            </w:r>
            <w:proofErr w:type="gramStart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том числе разработанных комитетом, в которых выявлены </w:t>
            </w:r>
            <w:proofErr w:type="spellStart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комплаенс</w:t>
            </w:r>
            <w:proofErr w:type="spellEnd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-риски (в отчетном периоде);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B3C8B8A" wp14:editId="7CC1FB48">
                  <wp:extent cx="533400" cy="2476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количество муниципальных нормативных правовых актов (используемых в своей деятельности комитетом, в том числе разработчиком которых является комитет), в которых выявлены риски нарушения </w:t>
            </w:r>
            <w:hyperlink r:id="rId31" w:history="1">
              <w:r w:rsidRPr="00355B92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антимонопольного законодательства</w:t>
              </w:r>
            </w:hyperlink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(в отчетном периоде);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D1E44E" wp14:editId="67305495">
                  <wp:extent cx="619125" cy="24765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проектов муниципальных нормативных правовых актов, в том числе разработанных комитетом, в которых выявлены риски нарушения антимонопольного законодательства (в отчетном периоде);</w:t>
            </w:r>
            <w:proofErr w:type="gramEnd"/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29C693" wp14:editId="11B3C534">
                  <wp:extent cx="342900" cy="2476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общее количество муниципальных нормативных правовых актов (используемых в своей деятельности комитетом, в том числе разработчиком которых является комитет) и проектов муниципальных нормативных правовых актов, в том числе разработанных комитетом, (в отчетном периоде).</w:t>
            </w:r>
          </w:p>
          <w:p w:rsidR="00355B92" w:rsidRPr="00355B92" w:rsidRDefault="00355B92" w:rsidP="00355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5B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динамики показателя: показатель обратного счета, динамика значений которого направлена на снижение.</w:t>
            </w:r>
          </w:p>
        </w:tc>
      </w:tr>
    </w:tbl>
    <w:p w:rsidR="001B46F4" w:rsidRPr="00215BD7" w:rsidRDefault="001B46F4" w:rsidP="00355B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B46F4" w:rsidRPr="00215BD7" w:rsidSect="00355B92">
      <w:headerReference w:type="default" r:id="rId34"/>
      <w:pgSz w:w="16834" w:h="11909" w:orient="landscape"/>
      <w:pgMar w:top="1985" w:right="1134" w:bottom="851" w:left="1134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F9" w:rsidRDefault="00E446F9" w:rsidP="00661D38">
      <w:pPr>
        <w:spacing w:after="0" w:line="240" w:lineRule="auto"/>
      </w:pPr>
      <w:r>
        <w:separator/>
      </w:r>
    </w:p>
  </w:endnote>
  <w:endnote w:type="continuationSeparator" w:id="0">
    <w:p w:rsidR="00E446F9" w:rsidRDefault="00E446F9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F9" w:rsidRDefault="00E446F9" w:rsidP="00661D38">
      <w:pPr>
        <w:spacing w:after="0" w:line="240" w:lineRule="auto"/>
      </w:pPr>
      <w:r>
        <w:separator/>
      </w:r>
    </w:p>
  </w:footnote>
  <w:footnote w:type="continuationSeparator" w:id="0">
    <w:p w:rsidR="00E446F9" w:rsidRDefault="00E446F9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F4" w:rsidRPr="00D82A75" w:rsidRDefault="001B46F4">
    <w:pPr>
      <w:pStyle w:val="a5"/>
      <w:jc w:val="right"/>
      <w:rPr>
        <w:rFonts w:ascii="Times New Roman" w:hAnsi="Times New Roman"/>
        <w:sz w:val="24"/>
        <w:szCs w:val="24"/>
      </w:rPr>
    </w:pPr>
    <w:r w:rsidRPr="00D82A75">
      <w:rPr>
        <w:rFonts w:ascii="Times New Roman" w:hAnsi="Times New Roman"/>
        <w:sz w:val="24"/>
        <w:szCs w:val="24"/>
      </w:rPr>
      <w:fldChar w:fldCharType="begin"/>
    </w:r>
    <w:r w:rsidRPr="00D82A75">
      <w:rPr>
        <w:rFonts w:ascii="Times New Roman" w:hAnsi="Times New Roman"/>
        <w:sz w:val="24"/>
        <w:szCs w:val="24"/>
      </w:rPr>
      <w:instrText xml:space="preserve"> PAGE   \* MERGEFORMAT </w:instrText>
    </w:r>
    <w:r w:rsidRPr="00D82A75">
      <w:rPr>
        <w:rFonts w:ascii="Times New Roman" w:hAnsi="Times New Roman"/>
        <w:sz w:val="24"/>
        <w:szCs w:val="24"/>
      </w:rPr>
      <w:fldChar w:fldCharType="separate"/>
    </w:r>
    <w:r w:rsidR="00D82A75">
      <w:rPr>
        <w:rFonts w:ascii="Times New Roman" w:hAnsi="Times New Roman"/>
        <w:noProof/>
        <w:sz w:val="24"/>
        <w:szCs w:val="24"/>
      </w:rPr>
      <w:t>2</w:t>
    </w:r>
    <w:r w:rsidRPr="00D82A75">
      <w:rPr>
        <w:rFonts w:ascii="Times New Roman" w:hAnsi="Times New Roman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6F4" w:rsidRPr="00D82A75" w:rsidRDefault="001B46F4">
    <w:pPr>
      <w:pStyle w:val="a5"/>
      <w:jc w:val="right"/>
      <w:rPr>
        <w:rFonts w:ascii="Times New Roman" w:hAnsi="Times New Roman"/>
        <w:sz w:val="24"/>
        <w:szCs w:val="24"/>
      </w:rPr>
    </w:pPr>
  </w:p>
  <w:p w:rsidR="001B46F4" w:rsidRDefault="001B46F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6F9" w:rsidRPr="00661D38" w:rsidRDefault="00E446F9">
    <w:pPr>
      <w:pStyle w:val="a5"/>
      <w:jc w:val="right"/>
      <w:rPr>
        <w:rFonts w:ascii="Times New Roman" w:hAnsi="Times New Roman"/>
        <w:sz w:val="24"/>
        <w:szCs w:val="24"/>
      </w:rPr>
    </w:pPr>
    <w:r w:rsidRPr="00661D38">
      <w:rPr>
        <w:rFonts w:ascii="Times New Roman" w:hAnsi="Times New Roman"/>
        <w:sz w:val="24"/>
        <w:szCs w:val="24"/>
      </w:rPr>
      <w:fldChar w:fldCharType="begin"/>
    </w:r>
    <w:r w:rsidRPr="00661D38">
      <w:rPr>
        <w:rFonts w:ascii="Times New Roman" w:hAnsi="Times New Roman"/>
        <w:sz w:val="24"/>
        <w:szCs w:val="24"/>
      </w:rPr>
      <w:instrText>PAGE   \* MERGEFORMAT</w:instrText>
    </w:r>
    <w:r w:rsidRPr="00661D38">
      <w:rPr>
        <w:rFonts w:ascii="Times New Roman" w:hAnsi="Times New Roman"/>
        <w:sz w:val="24"/>
        <w:szCs w:val="24"/>
      </w:rPr>
      <w:fldChar w:fldCharType="separate"/>
    </w:r>
    <w:r w:rsidR="00D82A75">
      <w:rPr>
        <w:rFonts w:ascii="Times New Roman" w:hAnsi="Times New Roman"/>
        <w:noProof/>
        <w:sz w:val="24"/>
        <w:szCs w:val="24"/>
      </w:rPr>
      <w:t>2</w:t>
    </w:r>
    <w:r w:rsidRPr="00661D38">
      <w:rPr>
        <w:rFonts w:ascii="Times New Roman" w:hAnsi="Times New Roman"/>
        <w:sz w:val="24"/>
        <w:szCs w:val="24"/>
      </w:rPr>
      <w:fldChar w:fldCharType="end"/>
    </w:r>
  </w:p>
  <w:p w:rsidR="00E446F9" w:rsidRDefault="00E446F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003AA"/>
    <w:multiLevelType w:val="multilevel"/>
    <w:tmpl w:val="F5CC5A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37AF9"/>
    <w:rsid w:val="00076855"/>
    <w:rsid w:val="00083D96"/>
    <w:rsid w:val="000B4132"/>
    <w:rsid w:val="001000C2"/>
    <w:rsid w:val="00146640"/>
    <w:rsid w:val="0015466D"/>
    <w:rsid w:val="00173DEE"/>
    <w:rsid w:val="001974A9"/>
    <w:rsid w:val="001B46F4"/>
    <w:rsid w:val="00215BD7"/>
    <w:rsid w:val="00321F87"/>
    <w:rsid w:val="00355B92"/>
    <w:rsid w:val="003D0F90"/>
    <w:rsid w:val="00421FB6"/>
    <w:rsid w:val="004D2CE7"/>
    <w:rsid w:val="004E6AC8"/>
    <w:rsid w:val="0055652A"/>
    <w:rsid w:val="005C073C"/>
    <w:rsid w:val="006153A8"/>
    <w:rsid w:val="00641247"/>
    <w:rsid w:val="00661D38"/>
    <w:rsid w:val="006B04E0"/>
    <w:rsid w:val="00752060"/>
    <w:rsid w:val="00756C84"/>
    <w:rsid w:val="00761B7C"/>
    <w:rsid w:val="008065B3"/>
    <w:rsid w:val="0085339C"/>
    <w:rsid w:val="00862355"/>
    <w:rsid w:val="008C654B"/>
    <w:rsid w:val="00950626"/>
    <w:rsid w:val="009D5F86"/>
    <w:rsid w:val="009F4CA7"/>
    <w:rsid w:val="00A34987"/>
    <w:rsid w:val="00AD3460"/>
    <w:rsid w:val="00B20C6B"/>
    <w:rsid w:val="00B669BA"/>
    <w:rsid w:val="00C2000D"/>
    <w:rsid w:val="00C55FDD"/>
    <w:rsid w:val="00C567A7"/>
    <w:rsid w:val="00C85D2B"/>
    <w:rsid w:val="00D25F9B"/>
    <w:rsid w:val="00D82A75"/>
    <w:rsid w:val="00D97DD2"/>
    <w:rsid w:val="00DE38B0"/>
    <w:rsid w:val="00E13CE2"/>
    <w:rsid w:val="00E446F9"/>
    <w:rsid w:val="00E8238F"/>
    <w:rsid w:val="00EE2C99"/>
    <w:rsid w:val="00EF64B5"/>
    <w:rsid w:val="00F2313C"/>
    <w:rsid w:val="00F3018E"/>
    <w:rsid w:val="00F8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C85D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a9">
    <w:name w:val="List Paragraph"/>
    <w:basedOn w:val="a"/>
    <w:uiPriority w:val="34"/>
    <w:qFormat/>
    <w:rsid w:val="00C8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garantF1://71984212.1000" TargetMode="External"/><Relationship Id="rId18" Type="http://schemas.openxmlformats.org/officeDocument/2006/relationships/hyperlink" Target="garantF1://12048517.2" TargetMode="External"/><Relationship Id="rId26" Type="http://schemas.openxmlformats.org/officeDocument/2006/relationships/hyperlink" Target="garantF1://12048517.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garantF1://12048517.2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71984212.0" TargetMode="External"/><Relationship Id="rId17" Type="http://schemas.openxmlformats.org/officeDocument/2006/relationships/hyperlink" Target="garantF1://12048517.2" TargetMode="External"/><Relationship Id="rId25" Type="http://schemas.openxmlformats.org/officeDocument/2006/relationships/hyperlink" Target="garantF1://12048517.2" TargetMode="External"/><Relationship Id="rId33" Type="http://schemas.openxmlformats.org/officeDocument/2006/relationships/image" Target="media/image4.emf"/><Relationship Id="rId2" Type="http://schemas.openxmlformats.org/officeDocument/2006/relationships/styles" Target="styles.xml"/><Relationship Id="rId16" Type="http://schemas.openxmlformats.org/officeDocument/2006/relationships/hyperlink" Target="garantF1://12048517.2" TargetMode="External"/><Relationship Id="rId20" Type="http://schemas.openxmlformats.org/officeDocument/2006/relationships/hyperlink" Target="garantF1://12048517.2" TargetMode="External"/><Relationship Id="rId29" Type="http://schemas.openxmlformats.org/officeDocument/2006/relationships/image" Target="media/image1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48517.2" TargetMode="External"/><Relationship Id="rId24" Type="http://schemas.openxmlformats.org/officeDocument/2006/relationships/hyperlink" Target="garantF1://12048517.2" TargetMode="External"/><Relationship Id="rId32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yperlink" Target="garantF1://12048517.2" TargetMode="External"/><Relationship Id="rId23" Type="http://schemas.openxmlformats.org/officeDocument/2006/relationships/hyperlink" Target="garantF1://12048517.2" TargetMode="External"/><Relationship Id="rId28" Type="http://schemas.openxmlformats.org/officeDocument/2006/relationships/hyperlink" Target="garantF1://12048517.2" TargetMode="External"/><Relationship Id="rId36" Type="http://schemas.openxmlformats.org/officeDocument/2006/relationships/theme" Target="theme/theme1.xml"/><Relationship Id="rId10" Type="http://schemas.openxmlformats.org/officeDocument/2006/relationships/hyperlink" Target="garantF1://12048517.2" TargetMode="External"/><Relationship Id="rId19" Type="http://schemas.openxmlformats.org/officeDocument/2006/relationships/hyperlink" Target="garantF1://12048517.2" TargetMode="External"/><Relationship Id="rId31" Type="http://schemas.openxmlformats.org/officeDocument/2006/relationships/hyperlink" Target="garantF1://12048517.2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garantF1://12048517.2" TargetMode="External"/><Relationship Id="rId22" Type="http://schemas.openxmlformats.org/officeDocument/2006/relationships/hyperlink" Target="garantF1://12048517.2" TargetMode="External"/><Relationship Id="rId27" Type="http://schemas.openxmlformats.org/officeDocument/2006/relationships/hyperlink" Target="garantF1://12048517.2" TargetMode="External"/><Relationship Id="rId30" Type="http://schemas.openxmlformats.org/officeDocument/2006/relationships/image" Target="media/image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3035</Words>
  <Characters>17306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В. Трясунова</dc:creator>
  <cp:lastModifiedBy>Евгений С. Полосин</cp:lastModifiedBy>
  <cp:revision>3</cp:revision>
  <cp:lastPrinted>2022-07-29T02:20:00Z</cp:lastPrinted>
  <dcterms:created xsi:type="dcterms:W3CDTF">2023-01-10T07:02:00Z</dcterms:created>
  <dcterms:modified xsi:type="dcterms:W3CDTF">2023-01-10T07:05:00Z</dcterms:modified>
</cp:coreProperties>
</file>