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48" w:rsidRPr="00026436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36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D6848" w:rsidRPr="00026436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3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026436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8E5321" w:rsidRPr="00026436">
        <w:rPr>
          <w:rFonts w:ascii="Times New Roman" w:hAnsi="Times New Roman" w:cs="Times New Roman"/>
          <w:b/>
          <w:sz w:val="28"/>
          <w:szCs w:val="28"/>
        </w:rPr>
        <w:t>решения Барнаульской городской Думы</w:t>
      </w:r>
      <w:r w:rsidR="004B0324" w:rsidRPr="00026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DFB" w:rsidRPr="00026436">
        <w:rPr>
          <w:rFonts w:ascii="Times New Roman" w:hAnsi="Times New Roman" w:cs="Times New Roman"/>
          <w:b/>
          <w:sz w:val="28"/>
          <w:szCs w:val="28"/>
        </w:rPr>
        <w:t>«</w:t>
      </w:r>
      <w:r w:rsidR="00026436" w:rsidRPr="00026436">
        <w:rPr>
          <w:rFonts w:ascii="Times New Roman" w:hAnsi="Times New Roman"/>
          <w:b/>
          <w:sz w:val="28"/>
          <w:szCs w:val="28"/>
        </w:rPr>
        <w:t xml:space="preserve">О внесении изменений в решение городской Думы </w:t>
      </w:r>
      <w:r w:rsidR="00026436">
        <w:rPr>
          <w:rFonts w:ascii="Times New Roman" w:hAnsi="Times New Roman"/>
          <w:b/>
          <w:sz w:val="28"/>
          <w:szCs w:val="28"/>
        </w:rPr>
        <w:br/>
      </w:r>
      <w:r w:rsidR="00026436" w:rsidRPr="00026436">
        <w:rPr>
          <w:rFonts w:ascii="Times New Roman" w:hAnsi="Times New Roman"/>
          <w:b/>
          <w:sz w:val="28"/>
          <w:szCs w:val="28"/>
        </w:rPr>
        <w:t>от 30.08.2019 №344 «Об утверждении  Генерального плана городского округа – города Барнаула Алтайского края»</w:t>
      </w:r>
    </w:p>
    <w:p w:rsidR="002A4DFB" w:rsidRDefault="002A4DFB" w:rsidP="002A4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2D79" w:rsidRPr="002A4DFB" w:rsidRDefault="00752D79" w:rsidP="002A4D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73EC" w:rsidRDefault="00ED6848" w:rsidP="004F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6A1D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A1DE3">
        <w:rPr>
          <w:rFonts w:ascii="Times New Roman" w:hAnsi="Times New Roman" w:cs="Times New Roman"/>
          <w:sz w:val="28"/>
          <w:szCs w:val="28"/>
        </w:rPr>
        <w:t>.</w:t>
      </w:r>
      <w:r w:rsidR="004B03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B0324">
        <w:rPr>
          <w:rFonts w:ascii="Times New Roman" w:hAnsi="Times New Roman" w:cs="Times New Roman"/>
          <w:sz w:val="28"/>
          <w:szCs w:val="28"/>
        </w:rPr>
        <w:t>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>, тел.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436" w:rsidRPr="00026436" w:rsidRDefault="00716062" w:rsidP="004F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56321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B56321">
        <w:rPr>
          <w:rFonts w:ascii="Times New Roman" w:hAnsi="Times New Roman" w:cs="Times New Roman"/>
          <w:sz w:val="28"/>
          <w:szCs w:val="28"/>
        </w:rPr>
        <w:t>было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о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B5632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>
        <w:rPr>
          <w:rFonts w:ascii="Times New Roman" w:hAnsi="Times New Roman" w:cs="Times New Roman"/>
          <w:sz w:val="28"/>
          <w:szCs w:val="28"/>
        </w:rPr>
        <w:t>–</w:t>
      </w:r>
      <w:r w:rsidR="00431FC2">
        <w:rPr>
          <w:rFonts w:ascii="Times New Roman" w:hAnsi="Times New Roman" w:cs="Times New Roman"/>
          <w:sz w:val="28"/>
          <w:szCs w:val="28"/>
        </w:rPr>
        <w:t xml:space="preserve"> </w:t>
      </w:r>
      <w:r w:rsidR="008E5321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8E5321" w:rsidRPr="008E5321">
        <w:rPr>
          <w:rFonts w:ascii="Times New Roman" w:hAnsi="Times New Roman" w:cs="Times New Roman"/>
          <w:sz w:val="28"/>
          <w:szCs w:val="28"/>
        </w:rPr>
        <w:t xml:space="preserve"> </w:t>
      </w:r>
      <w:r w:rsidR="00026436">
        <w:rPr>
          <w:rFonts w:ascii="Times New Roman" w:hAnsi="Times New Roman" w:cs="Times New Roman"/>
          <w:sz w:val="28"/>
          <w:szCs w:val="28"/>
        </w:rPr>
        <w:br/>
        <w:t>«</w:t>
      </w:r>
      <w:r w:rsidR="00026436">
        <w:rPr>
          <w:rFonts w:ascii="Times New Roman" w:hAnsi="Times New Roman"/>
          <w:sz w:val="28"/>
          <w:szCs w:val="28"/>
        </w:rPr>
        <w:t xml:space="preserve">О внесении изменений в решение городской Думы от 30.08.2019 №344 </w:t>
      </w:r>
      <w:r w:rsidR="00026436">
        <w:rPr>
          <w:rFonts w:ascii="Times New Roman" w:hAnsi="Times New Roman"/>
          <w:sz w:val="28"/>
          <w:szCs w:val="28"/>
        </w:rPr>
        <w:br/>
        <w:t>«</w:t>
      </w:r>
      <w:r w:rsidR="00026436" w:rsidRPr="005929EB">
        <w:rPr>
          <w:rFonts w:ascii="Times New Roman" w:hAnsi="Times New Roman"/>
          <w:sz w:val="28"/>
          <w:szCs w:val="28"/>
        </w:rPr>
        <w:t xml:space="preserve">Об утверждении </w:t>
      </w:r>
      <w:r w:rsidR="00026436">
        <w:rPr>
          <w:rFonts w:ascii="Times New Roman" w:hAnsi="Times New Roman"/>
          <w:sz w:val="28"/>
          <w:szCs w:val="28"/>
        </w:rPr>
        <w:t xml:space="preserve"> Генерального плана городского округа – города Барнаула Алтайского </w:t>
      </w:r>
      <w:r w:rsidR="00026436" w:rsidRPr="00026436">
        <w:rPr>
          <w:rFonts w:ascii="Times New Roman" w:hAnsi="Times New Roman"/>
          <w:sz w:val="28"/>
          <w:szCs w:val="28"/>
        </w:rPr>
        <w:t>края»</w:t>
      </w:r>
      <w:r w:rsidR="002A4DFB" w:rsidRPr="00026436">
        <w:rPr>
          <w:rFonts w:ascii="Times New Roman" w:hAnsi="Times New Roman" w:cs="Times New Roman"/>
          <w:sz w:val="28"/>
          <w:szCs w:val="28"/>
        </w:rPr>
        <w:t xml:space="preserve"> </w:t>
      </w:r>
      <w:r w:rsidR="00026436" w:rsidRPr="00026436">
        <w:rPr>
          <w:rFonts w:ascii="Times New Roman" w:hAnsi="Times New Roman" w:cs="Times New Roman"/>
          <w:bCs/>
          <w:sz w:val="28"/>
          <w:szCs w:val="28"/>
        </w:rPr>
        <w:t>с целью обеспечения устойчивого развития территории города Барнаула, создания благоприятной среды жизнедеятельности, развития инженерной, транспортной и социальной инфраструктур с учетом интересов граждан, исходя из совокупности</w:t>
      </w:r>
      <w:proofErr w:type="gramEnd"/>
      <w:r w:rsidR="00026436" w:rsidRPr="00026436">
        <w:rPr>
          <w:rFonts w:ascii="Times New Roman" w:hAnsi="Times New Roman" w:cs="Times New Roman"/>
          <w:bCs/>
          <w:sz w:val="28"/>
          <w:szCs w:val="28"/>
        </w:rPr>
        <w:t xml:space="preserve"> природных, экологических, экономических, социальных и иных факторов регулирования и стимулирования инвестиционной деятельности, согласования взаимных интересов Российской Федерации, органов государственной власти Алтайского края,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города Барнаула.</w:t>
      </w:r>
    </w:p>
    <w:p w:rsidR="00752D79" w:rsidRPr="00163023" w:rsidRDefault="00752D79" w:rsidP="004F0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79">
        <w:rPr>
          <w:rFonts w:ascii="Times New Roman" w:eastAsiaTheme="minorHAnsi" w:hAnsi="Times New Roman" w:cs="Times New Roman"/>
          <w:bCs/>
          <w:sz w:val="28"/>
          <w:szCs w:val="28"/>
        </w:rPr>
        <w:t>Проект муниципального нормативного правового акта направлен на решение следующей проблемы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63023">
        <w:rPr>
          <w:rFonts w:ascii="Times New Roman" w:hAnsi="Times New Roman" w:cs="Times New Roman"/>
          <w:sz w:val="28"/>
          <w:szCs w:val="28"/>
        </w:rPr>
        <w:t>устранение противоречи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3023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, реализация инвестиционных проектов</w:t>
      </w:r>
      <w:r w:rsidRPr="00163023">
        <w:rPr>
          <w:rFonts w:ascii="Times New Roman" w:hAnsi="Times New Roman" w:cs="Times New Roman"/>
          <w:sz w:val="28"/>
          <w:szCs w:val="28"/>
        </w:rPr>
        <w:t>.</w:t>
      </w:r>
    </w:p>
    <w:p w:rsidR="003463E9" w:rsidRPr="003A2530" w:rsidRDefault="00ED6848" w:rsidP="004F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B91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465B91">
        <w:rPr>
          <w:rFonts w:ascii="Times New Roman" w:hAnsi="Times New Roman" w:cs="Times New Roman"/>
          <w:sz w:val="28"/>
          <w:szCs w:val="28"/>
        </w:rPr>
        <w:t xml:space="preserve"> </w:t>
      </w:r>
      <w:r w:rsidRPr="00465B91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465B91">
        <w:rPr>
          <w:rFonts w:ascii="Times New Roman" w:hAnsi="Times New Roman" w:cs="Times New Roman"/>
          <w:sz w:val="28"/>
          <w:szCs w:val="28"/>
        </w:rPr>
        <w:t xml:space="preserve">, </w:t>
      </w:r>
      <w:r w:rsidR="003463E9" w:rsidRPr="003A2530">
        <w:rPr>
          <w:rFonts w:ascii="Times New Roman" w:hAnsi="Times New Roman" w:cs="Times New Roman"/>
          <w:sz w:val="28"/>
          <w:szCs w:val="28"/>
        </w:rPr>
        <w:t>возникающие в связи с</w:t>
      </w:r>
      <w:r w:rsidR="00D23D11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участков, строительством, реконструкцией объектов капитального строительства</w:t>
      </w:r>
      <w:r w:rsidR="003463E9" w:rsidRPr="003A253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– города Барнаула Алтайского края.</w:t>
      </w:r>
    </w:p>
    <w:p w:rsidR="00ED6848" w:rsidRPr="00043833" w:rsidRDefault="00ED6848" w:rsidP="004F0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Проект</w:t>
      </w:r>
      <w:r w:rsidR="000E47D6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557DBB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 w:rsidR="00742BD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4F054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026436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4F0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4F0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4F0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7500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716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65587" w:rsidRDefault="00665587" w:rsidP="00AC02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66558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AC02DD">
        <w:rPr>
          <w:rFonts w:ascii="Times New Roman" w:hAnsi="Times New Roman" w:cs="Times New Roman"/>
          <w:sz w:val="28"/>
          <w:szCs w:val="28"/>
        </w:rPr>
        <w:t>30.09.2021 по 20.10.2021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58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5 закона Алтайского края от 10.11.2014 №90-ЗС были направлены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752D79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752D79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Ленинского района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752D79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Железнодорожного района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752D79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Центрального района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администраци</w:t>
      </w:r>
      <w:r w:rsidR="00752D79">
        <w:rPr>
          <w:rFonts w:ascii="Times New Roman" w:hAnsi="Times New Roman" w:cs="Times New Roman"/>
          <w:sz w:val="28"/>
          <w:szCs w:val="28"/>
        </w:rPr>
        <w:t>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Октябрьского района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комитет по земельным ресурсам и землеустройству города Барнаула;</w:t>
      </w:r>
    </w:p>
    <w:p w:rsidR="00665587" w:rsidRPr="00C53FA7" w:rsidRDefault="00665587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A7">
        <w:rPr>
          <w:rFonts w:ascii="Times New Roman" w:hAnsi="Times New Roman" w:cs="Times New Roman"/>
          <w:sz w:val="28"/>
          <w:szCs w:val="28"/>
        </w:rPr>
        <w:t>Барнаульск</w:t>
      </w:r>
      <w:r w:rsidR="00AC02DD">
        <w:rPr>
          <w:rFonts w:ascii="Times New Roman" w:hAnsi="Times New Roman" w:cs="Times New Roman"/>
          <w:sz w:val="28"/>
          <w:szCs w:val="28"/>
        </w:rPr>
        <w:t>ую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C02DD">
        <w:rPr>
          <w:rFonts w:ascii="Times New Roman" w:hAnsi="Times New Roman" w:cs="Times New Roman"/>
          <w:sz w:val="28"/>
          <w:szCs w:val="28"/>
        </w:rPr>
        <w:t>ую</w:t>
      </w:r>
      <w:r w:rsidRPr="00C53FA7">
        <w:rPr>
          <w:rFonts w:ascii="Times New Roman" w:hAnsi="Times New Roman" w:cs="Times New Roman"/>
          <w:sz w:val="28"/>
          <w:szCs w:val="28"/>
        </w:rPr>
        <w:t xml:space="preserve"> Дум</w:t>
      </w:r>
      <w:r w:rsidR="00AC02DD">
        <w:rPr>
          <w:rFonts w:ascii="Times New Roman" w:hAnsi="Times New Roman" w:cs="Times New Roman"/>
          <w:sz w:val="28"/>
          <w:szCs w:val="28"/>
        </w:rPr>
        <w:t>у</w:t>
      </w:r>
      <w:r w:rsidRPr="00C53FA7">
        <w:rPr>
          <w:rFonts w:ascii="Times New Roman" w:hAnsi="Times New Roman" w:cs="Times New Roman"/>
          <w:sz w:val="28"/>
          <w:szCs w:val="28"/>
        </w:rPr>
        <w:t>;</w:t>
      </w:r>
    </w:p>
    <w:p w:rsidR="00665587" w:rsidRDefault="00AC02DD" w:rsidP="006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5587" w:rsidRPr="00C53FA7">
        <w:rPr>
          <w:rFonts w:ascii="Times New Roman" w:hAnsi="Times New Roman" w:cs="Times New Roman"/>
          <w:sz w:val="28"/>
          <w:szCs w:val="28"/>
        </w:rPr>
        <w:t>правление имущественных отношений Алтайского края.</w:t>
      </w:r>
    </w:p>
    <w:p w:rsidR="00752D79" w:rsidRPr="00762C00" w:rsidRDefault="00752D79" w:rsidP="00752D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752D7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6 статьи 5</w:t>
        </w:r>
      </w:hyperlink>
      <w:r w:rsidRPr="00752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Алтайского края от 10.11.2014 №90-ЗС  в  течение  срока,  предусмотренного  для  принятия  разработчиком предложений   в   связи   с   проведением   публичного  обсуждения  проекта муниципального  нормативного правового акта и сводного отчета о проведении оценки  регулирующего  воздействия,  поступили и были рассмотрены следующие предложения.</w:t>
      </w:r>
    </w:p>
    <w:p w:rsidR="00794B89" w:rsidRDefault="00794B89" w:rsidP="00794B89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5D23">
        <w:rPr>
          <w:rFonts w:ascii="Times New Roman" w:hAnsi="Times New Roman" w:cs="Times New Roman"/>
          <w:sz w:val="28"/>
          <w:szCs w:val="28"/>
        </w:rPr>
        <w:t>Сводка предложений, поступивших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</w:t>
      </w:r>
    </w:p>
    <w:p w:rsidR="006F692D" w:rsidRPr="00C53FA7" w:rsidRDefault="006F692D" w:rsidP="00794B89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9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50"/>
        <w:gridCol w:w="1984"/>
        <w:gridCol w:w="2828"/>
        <w:gridCol w:w="3260"/>
      </w:tblGrid>
      <w:tr w:rsidR="00575B1A" w:rsidRPr="006A1DE3" w:rsidTr="00F14D4F">
        <w:tc>
          <w:tcPr>
            <w:tcW w:w="488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850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Автор предложения</w:t>
            </w:r>
          </w:p>
        </w:tc>
        <w:tc>
          <w:tcPr>
            <w:tcW w:w="1984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Способ предоставления предложения</w:t>
            </w:r>
          </w:p>
        </w:tc>
        <w:tc>
          <w:tcPr>
            <w:tcW w:w="2828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Содержание предложения</w:t>
            </w:r>
          </w:p>
        </w:tc>
        <w:tc>
          <w:tcPr>
            <w:tcW w:w="3260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предложения</w:t>
            </w:r>
          </w:p>
        </w:tc>
      </w:tr>
      <w:tr w:rsidR="00575B1A" w:rsidRPr="006A1DE3" w:rsidTr="00F14D4F">
        <w:tc>
          <w:tcPr>
            <w:tcW w:w="488" w:type="dxa"/>
          </w:tcPr>
          <w:p w:rsidR="00665587" w:rsidRPr="006A1DE3" w:rsidRDefault="00665587" w:rsidP="00A9578B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850" w:type="dxa"/>
          </w:tcPr>
          <w:p w:rsidR="00665587" w:rsidRPr="006A1DE3" w:rsidRDefault="00665587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>ООО «Акватория»</w:t>
            </w:r>
          </w:p>
        </w:tc>
        <w:tc>
          <w:tcPr>
            <w:tcW w:w="1984" w:type="dxa"/>
          </w:tcPr>
          <w:p w:rsidR="00665587" w:rsidRDefault="00665587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>Обращение в письменном виде к разработчику проекта</w:t>
            </w:r>
          </w:p>
          <w:p w:rsidR="00C92120" w:rsidRPr="006A1DE3" w:rsidRDefault="00C92120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(от </w:t>
            </w:r>
            <w:r w:rsidR="003364E2">
              <w:rPr>
                <w:rFonts w:ascii="Times New Roman" w:hAnsi="Times New Roman"/>
                <w:sz w:val="27"/>
                <w:szCs w:val="27"/>
              </w:rPr>
              <w:t>15.10.2021)</w:t>
            </w:r>
          </w:p>
        </w:tc>
        <w:tc>
          <w:tcPr>
            <w:tcW w:w="2828" w:type="dxa"/>
          </w:tcPr>
          <w:p w:rsidR="00665587" w:rsidRPr="006A1DE3" w:rsidRDefault="00575B1A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 xml:space="preserve">Исключить из приложения 1 и приложения 5 проекта решения размещение объекта местного значения (строительство дошкольной образовательной организации) на земельном участке, расположенном по адресу: </w:t>
            </w:r>
            <w:proofErr w:type="spellStart"/>
            <w:r w:rsidRPr="006A1DE3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Start"/>
            <w:r w:rsidRPr="006A1DE3">
              <w:rPr>
                <w:rFonts w:ascii="Times New Roman" w:hAnsi="Times New Roman"/>
                <w:sz w:val="27"/>
                <w:szCs w:val="27"/>
              </w:rPr>
              <w:t>.Б</w:t>
            </w:r>
            <w:proofErr w:type="gramEnd"/>
            <w:r w:rsidRPr="006A1DE3">
              <w:rPr>
                <w:rFonts w:ascii="Times New Roman" w:hAnsi="Times New Roman"/>
                <w:sz w:val="27"/>
                <w:szCs w:val="27"/>
              </w:rPr>
              <w:t>ар</w:t>
            </w:r>
            <w:r w:rsidR="00030D99" w:rsidRPr="006A1DE3">
              <w:rPr>
                <w:rFonts w:ascii="Times New Roman" w:hAnsi="Times New Roman"/>
                <w:sz w:val="27"/>
                <w:szCs w:val="27"/>
              </w:rPr>
              <w:t>наул</w:t>
            </w:r>
            <w:proofErr w:type="spellEnd"/>
            <w:r w:rsidR="00030D99" w:rsidRPr="006A1DE3">
              <w:rPr>
                <w:rFonts w:ascii="Times New Roman" w:hAnsi="Times New Roman"/>
                <w:sz w:val="27"/>
                <w:szCs w:val="27"/>
              </w:rPr>
              <w:t>,</w:t>
            </w:r>
            <w:r w:rsidRPr="006A1DE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A1DE3">
              <w:rPr>
                <w:rFonts w:ascii="Times New Roman" w:hAnsi="Times New Roman"/>
                <w:sz w:val="27"/>
                <w:szCs w:val="27"/>
              </w:rPr>
              <w:t>ул.Промышленная</w:t>
            </w:r>
            <w:proofErr w:type="spellEnd"/>
            <w:r w:rsidRPr="006A1DE3">
              <w:rPr>
                <w:rFonts w:ascii="Times New Roman" w:hAnsi="Times New Roman"/>
                <w:sz w:val="27"/>
                <w:szCs w:val="27"/>
              </w:rPr>
              <w:t>, 10</w:t>
            </w:r>
          </w:p>
          <w:p w:rsidR="00665587" w:rsidRPr="006A1DE3" w:rsidRDefault="00665587" w:rsidP="00665587">
            <w:pPr>
              <w:pStyle w:val="ConsPlusNonformat"/>
              <w:spacing w:line="228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665587" w:rsidRPr="006A1DE3" w:rsidRDefault="00665587" w:rsidP="00AC02DD">
            <w:pPr>
              <w:pStyle w:val="ConsPlusNonformat"/>
              <w:spacing w:line="228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A1DE3">
              <w:rPr>
                <w:rFonts w:ascii="Times New Roman" w:hAnsi="Times New Roman"/>
                <w:sz w:val="27"/>
                <w:szCs w:val="27"/>
              </w:rPr>
              <w:t>Комиссией по землепользовани</w:t>
            </w:r>
            <w:r w:rsidR="00575B1A" w:rsidRPr="006A1DE3">
              <w:rPr>
                <w:rFonts w:ascii="Times New Roman" w:hAnsi="Times New Roman"/>
                <w:sz w:val="27"/>
                <w:szCs w:val="27"/>
              </w:rPr>
              <w:t>ю</w:t>
            </w:r>
            <w:r w:rsidRPr="006A1DE3">
              <w:rPr>
                <w:rFonts w:ascii="Times New Roman" w:hAnsi="Times New Roman"/>
                <w:sz w:val="27"/>
                <w:szCs w:val="27"/>
              </w:rPr>
              <w:t xml:space="preserve"> и застройк</w:t>
            </w:r>
            <w:r w:rsidR="00575B1A" w:rsidRPr="006A1DE3">
              <w:rPr>
                <w:rFonts w:ascii="Times New Roman" w:hAnsi="Times New Roman"/>
                <w:sz w:val="27"/>
                <w:szCs w:val="27"/>
              </w:rPr>
              <w:t>е</w:t>
            </w:r>
            <w:r w:rsidRPr="006A1DE3">
              <w:rPr>
                <w:rFonts w:ascii="Times New Roman" w:hAnsi="Times New Roman"/>
                <w:sz w:val="27"/>
                <w:szCs w:val="27"/>
              </w:rPr>
              <w:t xml:space="preserve"> городского округа - города Барнаула Алтайского края (далее – Комиссия)</w:t>
            </w:r>
            <w:r w:rsidR="00030D99" w:rsidRPr="006A1DE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A1DE3">
              <w:rPr>
                <w:rFonts w:ascii="Times New Roman" w:hAnsi="Times New Roman"/>
                <w:sz w:val="27"/>
                <w:szCs w:val="27"/>
              </w:rPr>
              <w:t>р</w:t>
            </w:r>
            <w:r w:rsidRPr="006A1DE3">
              <w:rPr>
                <w:rFonts w:ascii="Times New Roman" w:hAnsi="Times New Roman"/>
                <w:sz w:val="27"/>
                <w:szCs w:val="27"/>
              </w:rPr>
              <w:t>еко</w:t>
            </w:r>
            <w:r w:rsidR="00575B1A" w:rsidRPr="006A1DE3">
              <w:rPr>
                <w:rFonts w:ascii="Times New Roman" w:hAnsi="Times New Roman"/>
                <w:sz w:val="27"/>
                <w:szCs w:val="27"/>
              </w:rPr>
              <w:t>мендовано отклонить предложение, поскольку</w:t>
            </w:r>
            <w:r w:rsidR="00030D99" w:rsidRPr="006A1DE3">
              <w:rPr>
                <w:rFonts w:ascii="Times New Roman" w:hAnsi="Times New Roman"/>
                <w:sz w:val="27"/>
                <w:szCs w:val="27"/>
              </w:rPr>
              <w:t xml:space="preserve"> данное предложение не рассматривалось в период проведения общественных обсуждений и </w:t>
            </w:r>
            <w:r w:rsidR="00575B1A" w:rsidRPr="006A1DE3">
              <w:rPr>
                <w:rFonts w:ascii="Times New Roman" w:hAnsi="Times New Roman"/>
                <w:sz w:val="27"/>
                <w:szCs w:val="27"/>
              </w:rPr>
              <w:t xml:space="preserve">для его учета требуется комплексный градостроительный анализ, включающий в себя анализ структуры жилищного фонда на основе концепции пространственного развития муниципального образования, изменение структуры земельного фонда населенных пунктов, а также изменение карт функционального </w:t>
            </w:r>
            <w:proofErr w:type="spellStart"/>
            <w:r w:rsidR="00575B1A" w:rsidRPr="006A1DE3">
              <w:rPr>
                <w:rFonts w:ascii="Times New Roman" w:hAnsi="Times New Roman"/>
                <w:sz w:val="27"/>
                <w:szCs w:val="27"/>
              </w:rPr>
              <w:t>зониро</w:t>
            </w:r>
            <w:r w:rsidR="00030D99" w:rsidRPr="006A1DE3">
              <w:rPr>
                <w:rFonts w:ascii="Times New Roman" w:hAnsi="Times New Roman"/>
                <w:sz w:val="27"/>
                <w:szCs w:val="27"/>
              </w:rPr>
              <w:t>-</w:t>
            </w:r>
            <w:r w:rsidR="00575B1A" w:rsidRPr="006A1DE3">
              <w:rPr>
                <w:rFonts w:ascii="Times New Roman" w:hAnsi="Times New Roman"/>
                <w:sz w:val="27"/>
                <w:szCs w:val="27"/>
              </w:rPr>
              <w:t>вания</w:t>
            </w:r>
            <w:proofErr w:type="spellEnd"/>
            <w:proofErr w:type="gramEnd"/>
            <w:r w:rsidR="00575B1A" w:rsidRPr="006A1DE3">
              <w:rPr>
                <w:rFonts w:ascii="Times New Roman" w:hAnsi="Times New Roman"/>
                <w:sz w:val="27"/>
                <w:szCs w:val="27"/>
              </w:rPr>
              <w:t xml:space="preserve"> территории</w:t>
            </w:r>
            <w:r w:rsidR="00AC02D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575B1A" w:rsidRPr="006A1DE3" w:rsidTr="00F14D4F">
        <w:trPr>
          <w:trHeight w:val="4283"/>
        </w:trPr>
        <w:tc>
          <w:tcPr>
            <w:tcW w:w="488" w:type="dxa"/>
          </w:tcPr>
          <w:p w:rsidR="00575B1A" w:rsidRPr="006A1DE3" w:rsidRDefault="00575B1A" w:rsidP="00A9578B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1DE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850" w:type="dxa"/>
          </w:tcPr>
          <w:p w:rsidR="00575B1A" w:rsidRPr="006A1DE3" w:rsidRDefault="00860EF5" w:rsidP="00752D79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>Депутат Барнаульской городской   Думы Молодых</w:t>
            </w:r>
            <w:r w:rsidR="00752D7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A1DE3">
              <w:rPr>
                <w:rFonts w:ascii="Times New Roman" w:hAnsi="Times New Roman"/>
                <w:sz w:val="27"/>
                <w:szCs w:val="27"/>
              </w:rPr>
              <w:t>О.Е.</w:t>
            </w:r>
          </w:p>
        </w:tc>
        <w:tc>
          <w:tcPr>
            <w:tcW w:w="1984" w:type="dxa"/>
          </w:tcPr>
          <w:p w:rsidR="00575B1A" w:rsidRDefault="00860EF5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>Обращение в письменном виде к разработчику проекта</w:t>
            </w:r>
          </w:p>
          <w:p w:rsidR="00C92120" w:rsidRPr="006A1DE3" w:rsidRDefault="00C92120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(от </w:t>
            </w:r>
            <w:r w:rsidR="003364E2">
              <w:rPr>
                <w:rFonts w:ascii="Times New Roman" w:hAnsi="Times New Roman"/>
                <w:sz w:val="27"/>
                <w:szCs w:val="27"/>
              </w:rPr>
              <w:t>20.10.2021)</w:t>
            </w:r>
          </w:p>
        </w:tc>
        <w:tc>
          <w:tcPr>
            <w:tcW w:w="2828" w:type="dxa"/>
          </w:tcPr>
          <w:p w:rsidR="00575B1A" w:rsidRPr="006A1DE3" w:rsidRDefault="00860EF5" w:rsidP="009D62AF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 xml:space="preserve">Установить в отношении земельных участков, расположенных по 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 проезду Транспортному, тупику </w:t>
            </w:r>
            <w:proofErr w:type="spellStart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Стройгаза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Станочному, </w:t>
            </w:r>
            <w:r w:rsidR="006A1DE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мирнова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A1DE3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1-й,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2-й, проезду Ростовскому,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Западной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4-й, проезду Достоевского,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Западной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5-й,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3-й, проезду </w:t>
            </w:r>
            <w:proofErr w:type="spellStart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Турге</w:t>
            </w:r>
            <w:r w:rsidR="006A1DE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нева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Чудненко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Жилому,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Гущина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Горно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-Алтайской,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Чегле</w:t>
            </w:r>
            <w:r w:rsidR="006A1DE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цова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Ракетному, проезду Волейбольному, проезду Трамвайному, проезду Клеверному, проезду Вагонному, проезду Аграрному, проезду Стрелочному,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ородкина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Авиационному,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Красный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Текстильщик,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Матросова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Кузнечной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Модельной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Танковой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Литейной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Северо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-Западной,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Новороссийской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Рощинской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Аэродромной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Модельному, проезду Курганскому, проезду Цветочному,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Воронежской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Телефонной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Дорожной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Червонной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Станционной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bookmarkStart w:id="0" w:name="_GoBack"/>
            <w:bookmarkEnd w:id="0"/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Меланжевой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Восточной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Паровозной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Юрина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Микронной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Парашютной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Георгия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Исакова, проезду Восточному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1-му, проезду Нова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торскому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елек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ционной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переулку Станочному, </w:t>
            </w:r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80 Гвардейской Дивизии,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Петра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Сухова,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Солнцева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Славгородской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Пролетарской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Интернациональ</w:t>
            </w:r>
            <w:proofErr w:type="spellEnd"/>
            <w:r w:rsidR="00DB66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ной,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Анатолия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Никитина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переулку Радищева, переулку Циолковского, переулку </w:t>
            </w:r>
            <w:proofErr w:type="spellStart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Ядринцева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переулку Революционному,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Пушкина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Садовой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Мирному 1-му, проезду Мирному 2-му, проезду Мирному 3-му, проезду Мирному 4-му, квартал застройки 1078,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Пригородной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Проездной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Антона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Петрова,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proofErr w:type="gram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боронной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Кирсараевской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Спортивной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проспекту Коммунаров, проезду Садовому, проезду Свободному,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Советской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Армии,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Полярной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Центральному,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Бийской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Главной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Заречной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Индустриальной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Либкнехта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Путейской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Рельсовой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Речной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проезду Лагерному, проезду Братскому, проезду Горьковскому, проезду Гранитному, проезду Целинному, проезду Локомотивному, проезду Станционному, проезду Тростильному,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роезду Полярному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1-му, проезду Полярному 2-му, проезду Полярному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3-му,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proofErr w:type="gram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ехтерева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Колесной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A1DE3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>Западной</w:t>
            </w:r>
            <w:proofErr w:type="spellEnd"/>
            <w:r w:rsidR="006A1DE3" w:rsidRPr="006A1DE3">
              <w:rPr>
                <w:rFonts w:ascii="Times New Roman" w:hAnsi="Times New Roman" w:cs="Times New Roman"/>
                <w:sz w:val="27"/>
                <w:szCs w:val="27"/>
              </w:rPr>
              <w:t xml:space="preserve"> 4-й, проезду Детсадовскому,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 xml:space="preserve"> переулку </w:t>
            </w:r>
            <w:proofErr w:type="spellStart"/>
            <w:r w:rsidR="00DB6628">
              <w:rPr>
                <w:rFonts w:ascii="Times New Roman" w:hAnsi="Times New Roman" w:cs="Times New Roman"/>
                <w:sz w:val="27"/>
                <w:szCs w:val="27"/>
              </w:rPr>
              <w:t>Гетмановскому</w:t>
            </w:r>
            <w:proofErr w:type="spellEnd"/>
            <w:r w:rsidR="00DB66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4B89">
              <w:rPr>
                <w:rFonts w:ascii="Times New Roman" w:hAnsi="Times New Roman" w:cs="Times New Roman"/>
                <w:sz w:val="27"/>
                <w:szCs w:val="27"/>
              </w:rPr>
              <w:t xml:space="preserve">градостроительную 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>функциональную зону</w:t>
            </w:r>
            <w:r w:rsidR="00794B89">
              <w:rPr>
                <w:rFonts w:ascii="Times New Roman" w:hAnsi="Times New Roman" w:cs="Times New Roman"/>
                <w:sz w:val="27"/>
                <w:szCs w:val="27"/>
              </w:rPr>
              <w:t xml:space="preserve"> Ж-4</w:t>
            </w:r>
            <w:r w:rsidR="00DB6628">
              <w:rPr>
                <w:rFonts w:ascii="Times New Roman" w:hAnsi="Times New Roman" w:cs="Times New Roman"/>
                <w:sz w:val="27"/>
                <w:szCs w:val="27"/>
              </w:rPr>
              <w:t xml:space="preserve"> под застройку индивидуальными жилыми домами</w:t>
            </w:r>
            <w:r w:rsidR="00794B89">
              <w:rPr>
                <w:rFonts w:ascii="Times New Roman" w:hAnsi="Times New Roman" w:cs="Times New Roman"/>
                <w:sz w:val="27"/>
                <w:szCs w:val="27"/>
              </w:rPr>
              <w:t xml:space="preserve"> в основных видах разрешенного использования.</w:t>
            </w:r>
          </w:p>
        </w:tc>
        <w:tc>
          <w:tcPr>
            <w:tcW w:w="3260" w:type="dxa"/>
          </w:tcPr>
          <w:p w:rsidR="00575B1A" w:rsidRDefault="00860EF5" w:rsidP="00860EF5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Комиссией рекомендовано отклонить предложение,  так как для его учета требуется комплексный градостроительный анализ, включающий в себя анализ структуры жилищного фонда на основе концепции пространственного развития муниципального образования, изменение структуры земельного фонда населенных пунктов, а также </w:t>
            </w:r>
            <w:r w:rsidRPr="006A1DE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изменение карт функционального </w:t>
            </w:r>
            <w:proofErr w:type="spellStart"/>
            <w:proofErr w:type="gramStart"/>
            <w:r w:rsidRPr="006A1DE3">
              <w:rPr>
                <w:rFonts w:ascii="Times New Roman" w:hAnsi="Times New Roman"/>
                <w:sz w:val="27"/>
                <w:szCs w:val="27"/>
              </w:rPr>
              <w:t>зониро-вания</w:t>
            </w:r>
            <w:proofErr w:type="spellEnd"/>
            <w:proofErr w:type="gramEnd"/>
            <w:r w:rsidRPr="006A1DE3">
              <w:rPr>
                <w:rFonts w:ascii="Times New Roman" w:hAnsi="Times New Roman"/>
                <w:sz w:val="27"/>
                <w:szCs w:val="27"/>
              </w:rPr>
              <w:t xml:space="preserve"> территории, Предложение будет рассмотрено при очередном внесении изменений в Генеральный план.</w:t>
            </w:r>
          </w:p>
          <w:p w:rsidR="00AA1D33" w:rsidRPr="006A1DE3" w:rsidRDefault="00AA1D33" w:rsidP="00860EF5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1D33" w:rsidRPr="006A1DE3" w:rsidTr="00F14D4F">
        <w:trPr>
          <w:trHeight w:val="4141"/>
        </w:trPr>
        <w:tc>
          <w:tcPr>
            <w:tcW w:w="488" w:type="dxa"/>
          </w:tcPr>
          <w:p w:rsidR="00AA1D33" w:rsidRPr="006A1DE3" w:rsidRDefault="00F8041F" w:rsidP="00A9578B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1850" w:type="dxa"/>
          </w:tcPr>
          <w:p w:rsidR="00AA1D33" w:rsidRPr="006A1DE3" w:rsidRDefault="000F7D2D" w:rsidP="000A1A3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Комиссия по </w:t>
            </w: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землепользо</w:t>
            </w:r>
            <w:r w:rsidR="00CF09C0"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</w:rPr>
              <w:t>ванию</w:t>
            </w:r>
            <w:proofErr w:type="spellEnd"/>
            <w:proofErr w:type="gramEnd"/>
            <w:r w:rsidR="00CF09C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 за</w:t>
            </w:r>
            <w:r w:rsidR="00CF09C0">
              <w:rPr>
                <w:rFonts w:ascii="Times New Roman" w:hAnsi="Times New Roman"/>
                <w:sz w:val="27"/>
                <w:szCs w:val="27"/>
              </w:rPr>
              <w:t>стройк</w:t>
            </w:r>
            <w:r w:rsidR="000A1A37">
              <w:rPr>
                <w:rFonts w:ascii="Times New Roman" w:hAnsi="Times New Roman"/>
                <w:sz w:val="27"/>
                <w:szCs w:val="27"/>
              </w:rPr>
              <w:t>е</w:t>
            </w:r>
          </w:p>
        </w:tc>
        <w:tc>
          <w:tcPr>
            <w:tcW w:w="1984" w:type="dxa"/>
          </w:tcPr>
          <w:p w:rsidR="00AA1D33" w:rsidRDefault="00F8041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A1DE3">
              <w:rPr>
                <w:rFonts w:ascii="Times New Roman" w:hAnsi="Times New Roman"/>
                <w:sz w:val="27"/>
                <w:szCs w:val="27"/>
              </w:rPr>
              <w:t>Обращение в письменном виде к разработчику проекта</w:t>
            </w:r>
          </w:p>
          <w:p w:rsidR="00C92120" w:rsidRDefault="00C92120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(от 15.10.2021)</w:t>
            </w: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14D4F" w:rsidRPr="006A1DE3" w:rsidRDefault="00F14D4F" w:rsidP="00665587">
            <w:pPr>
              <w:pStyle w:val="ConsPlusNonformat"/>
              <w:spacing w:line="228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28" w:type="dxa"/>
          </w:tcPr>
          <w:p w:rsidR="00AA1D33" w:rsidRDefault="00F8041F" w:rsidP="00DB6628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Установить параметры функциональной  зоны смешанной и общественно-деловой застройки:</w:t>
            </w:r>
          </w:p>
          <w:p w:rsidR="00466E5C" w:rsidRDefault="00466E5C" w:rsidP="00DB6628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F8041F" w:rsidRDefault="00F8041F" w:rsidP="00DB66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1B4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gramStart"/>
            <w:r w:rsidRPr="005441B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5441B4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 w:rsidR="00E8389C" w:rsidRPr="00544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41B4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5441B4" w:rsidRPr="005441B4" w:rsidRDefault="005441B4" w:rsidP="00DB662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1D" w:rsidRPr="0085151D" w:rsidRDefault="0085151D" w:rsidP="0085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1B4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 –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 xml:space="preserve"> 0,8 для всех объектов капитального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объектов капитального строительства, высота которых превышает 75 метров</w:t>
            </w:r>
            <w:r w:rsidR="00466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151D" w:rsidRPr="0085151D" w:rsidRDefault="0085151D" w:rsidP="0085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– 2,4 для всех объектов капитального строительства,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за исключением  объектов капитального строительства, высота котор</w:t>
            </w:r>
            <w:r w:rsidR="00466E5C">
              <w:rPr>
                <w:rFonts w:ascii="Times New Roman" w:hAnsi="Times New Roman" w:cs="Times New Roman"/>
                <w:sz w:val="26"/>
                <w:szCs w:val="26"/>
              </w:rPr>
              <w:t>ых превышает 75 метров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151D" w:rsidRPr="0085151D" w:rsidRDefault="0085151D" w:rsidP="008515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Параметры застройки территории (коэффициент застройки, коэффициент плотности застройки, максимальная этажность) для объектов капитального  строительства, высота которых превышает 75 метров (высотны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 xml:space="preserve"> 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66E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151D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85151D">
              <w:rPr>
                <w:rFonts w:ascii="Times New Roman" w:hAnsi="Times New Roman" w:cs="Times New Roman"/>
                <w:sz w:val="26"/>
                <w:szCs w:val="26"/>
              </w:rPr>
              <w:t>нормируются и определяются</w:t>
            </w:r>
            <w:proofErr w:type="gramEnd"/>
            <w:r w:rsidRPr="0085151D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специальными техническими условиями, нормами проектирования исходя из ограничений, установленных для зон с особыми условиями использования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041F" w:rsidRPr="00545552" w:rsidRDefault="00F8041F" w:rsidP="00C04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</w:tcPr>
          <w:p w:rsidR="00AA1D33" w:rsidRPr="006A1DE3" w:rsidRDefault="00E31330" w:rsidP="00E31330">
            <w:pPr>
              <w:pStyle w:val="ConsPlusNonformat"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Предложение учтено</w:t>
            </w:r>
          </w:p>
        </w:tc>
      </w:tr>
    </w:tbl>
    <w:p w:rsidR="00665587" w:rsidRDefault="00665587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B89" w:rsidRPr="00C61912" w:rsidRDefault="00794B89" w:rsidP="00794B89">
      <w:pPr>
        <w:pStyle w:val="ConsPlusNonformat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По результатам проведения публичного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обсуждения принято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решение 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доработке сводного отчета о проведении оцен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ки регулирующего воздействия, в который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дополнительно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включаются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сведения о проведении публичного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обсуждения проекта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муниципального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нормати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вного правового акта и сводного отчета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проведении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оценки регулирую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щего воздействия, сроках его проведения,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сводка предложений,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поступивших в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связи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проведением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публичного обсуждения, и направлении ответственному за подготовку заключения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проекта муниципального нормативного правового</w:t>
      </w:r>
      <w:proofErr w:type="gram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акта и доработанного сводного отчета о проведении оценки регулирующего воздействия</w:t>
      </w:r>
      <w:r w:rsidRPr="00C61912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665587" w:rsidRDefault="00665587" w:rsidP="004C5B29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C1802">
        <w:rPr>
          <w:rFonts w:ascii="Times New Roman" w:hAnsi="Times New Roman" w:cs="Times New Roman"/>
          <w:sz w:val="28"/>
          <w:szCs w:val="28"/>
        </w:rPr>
        <w:t>А.А.Воробьев</w:t>
      </w:r>
      <w:proofErr w:type="spellEnd"/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1990" w:rsidSect="006F692D">
      <w:headerReference w:type="default" r:id="rId11"/>
      <w:headerReference w:type="first" r:id="rId12"/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20" w:rsidRDefault="00C92120" w:rsidP="00E61310">
      <w:pPr>
        <w:spacing w:after="0" w:line="240" w:lineRule="auto"/>
      </w:pPr>
      <w:r>
        <w:separator/>
      </w:r>
    </w:p>
  </w:endnote>
  <w:endnote w:type="continuationSeparator" w:id="0">
    <w:p w:rsidR="00C92120" w:rsidRDefault="00C9212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20" w:rsidRDefault="00C92120" w:rsidP="00E61310">
      <w:pPr>
        <w:spacing w:after="0" w:line="240" w:lineRule="auto"/>
      </w:pPr>
      <w:r>
        <w:separator/>
      </w:r>
    </w:p>
  </w:footnote>
  <w:footnote w:type="continuationSeparator" w:id="0">
    <w:p w:rsidR="00C92120" w:rsidRDefault="00C92120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463766883"/>
      <w:docPartObj>
        <w:docPartGallery w:val="Page Numbers (Top of Page)"/>
        <w:docPartUnique/>
      </w:docPartObj>
    </w:sdtPr>
    <w:sdtContent>
      <w:p w:rsidR="00C92120" w:rsidRPr="006F692D" w:rsidRDefault="00C9212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F69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69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69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64E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F69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120" w:rsidRDefault="00C921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20" w:rsidRDefault="00C92120">
    <w:pPr>
      <w:pStyle w:val="a3"/>
      <w:jc w:val="right"/>
    </w:pPr>
  </w:p>
  <w:p w:rsidR="00C92120" w:rsidRDefault="00C921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402"/>
    <w:multiLevelType w:val="hybridMultilevel"/>
    <w:tmpl w:val="ABEACE02"/>
    <w:lvl w:ilvl="0" w:tplc="1C648A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37D4"/>
    <w:multiLevelType w:val="hybridMultilevel"/>
    <w:tmpl w:val="C5827E12"/>
    <w:lvl w:ilvl="0" w:tplc="13F64C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0F00"/>
    <w:rsid w:val="000118ED"/>
    <w:rsid w:val="00017686"/>
    <w:rsid w:val="00026436"/>
    <w:rsid w:val="00030D99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1A37"/>
    <w:rsid w:val="000A5B59"/>
    <w:rsid w:val="000B1007"/>
    <w:rsid w:val="000C4F7F"/>
    <w:rsid w:val="000C7DD9"/>
    <w:rsid w:val="000D7E3B"/>
    <w:rsid w:val="000E47D6"/>
    <w:rsid w:val="000F7D2D"/>
    <w:rsid w:val="00111990"/>
    <w:rsid w:val="0013663A"/>
    <w:rsid w:val="00186A0F"/>
    <w:rsid w:val="00191D53"/>
    <w:rsid w:val="001F012D"/>
    <w:rsid w:val="001F1DD7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364E2"/>
    <w:rsid w:val="003463E9"/>
    <w:rsid w:val="0034770C"/>
    <w:rsid w:val="00347914"/>
    <w:rsid w:val="0036028F"/>
    <w:rsid w:val="003C6A45"/>
    <w:rsid w:val="003C7032"/>
    <w:rsid w:val="003D20A9"/>
    <w:rsid w:val="003D4260"/>
    <w:rsid w:val="00403541"/>
    <w:rsid w:val="00431FC2"/>
    <w:rsid w:val="0045075D"/>
    <w:rsid w:val="00453E63"/>
    <w:rsid w:val="00465B91"/>
    <w:rsid w:val="00466E5C"/>
    <w:rsid w:val="004B0324"/>
    <w:rsid w:val="004C5B29"/>
    <w:rsid w:val="004F0547"/>
    <w:rsid w:val="004F2D93"/>
    <w:rsid w:val="00502375"/>
    <w:rsid w:val="00502B05"/>
    <w:rsid w:val="005036A9"/>
    <w:rsid w:val="005441B4"/>
    <w:rsid w:val="00545552"/>
    <w:rsid w:val="00557DBB"/>
    <w:rsid w:val="00575B1A"/>
    <w:rsid w:val="0057777B"/>
    <w:rsid w:val="005D4329"/>
    <w:rsid w:val="0060338F"/>
    <w:rsid w:val="00612E57"/>
    <w:rsid w:val="00636E15"/>
    <w:rsid w:val="006373EC"/>
    <w:rsid w:val="00653FE5"/>
    <w:rsid w:val="00665587"/>
    <w:rsid w:val="00665AFB"/>
    <w:rsid w:val="006822AE"/>
    <w:rsid w:val="006831E4"/>
    <w:rsid w:val="006A1DE3"/>
    <w:rsid w:val="006B6818"/>
    <w:rsid w:val="006E6989"/>
    <w:rsid w:val="006F692D"/>
    <w:rsid w:val="00716062"/>
    <w:rsid w:val="00742BDB"/>
    <w:rsid w:val="00752D79"/>
    <w:rsid w:val="0076776C"/>
    <w:rsid w:val="00794B89"/>
    <w:rsid w:val="007A21F9"/>
    <w:rsid w:val="007F0085"/>
    <w:rsid w:val="00806284"/>
    <w:rsid w:val="0085151D"/>
    <w:rsid w:val="00860EF5"/>
    <w:rsid w:val="008655D3"/>
    <w:rsid w:val="008765C6"/>
    <w:rsid w:val="00885DA6"/>
    <w:rsid w:val="008C58E2"/>
    <w:rsid w:val="008E5321"/>
    <w:rsid w:val="0090225F"/>
    <w:rsid w:val="009038FA"/>
    <w:rsid w:val="00904C2A"/>
    <w:rsid w:val="00914E11"/>
    <w:rsid w:val="00915569"/>
    <w:rsid w:val="00940657"/>
    <w:rsid w:val="00957C34"/>
    <w:rsid w:val="00963F2C"/>
    <w:rsid w:val="00977723"/>
    <w:rsid w:val="009806EA"/>
    <w:rsid w:val="00986653"/>
    <w:rsid w:val="009A1E9B"/>
    <w:rsid w:val="009A65B0"/>
    <w:rsid w:val="009C307C"/>
    <w:rsid w:val="009D62AF"/>
    <w:rsid w:val="00A23E3C"/>
    <w:rsid w:val="00A82A71"/>
    <w:rsid w:val="00A94D74"/>
    <w:rsid w:val="00A9578B"/>
    <w:rsid w:val="00AA1D33"/>
    <w:rsid w:val="00AB5B9E"/>
    <w:rsid w:val="00AC02DD"/>
    <w:rsid w:val="00AF1F51"/>
    <w:rsid w:val="00B4001F"/>
    <w:rsid w:val="00B56321"/>
    <w:rsid w:val="00B660A3"/>
    <w:rsid w:val="00BA50EB"/>
    <w:rsid w:val="00BB37B2"/>
    <w:rsid w:val="00BB70C6"/>
    <w:rsid w:val="00C04823"/>
    <w:rsid w:val="00C22CC0"/>
    <w:rsid w:val="00C3051A"/>
    <w:rsid w:val="00C32A9C"/>
    <w:rsid w:val="00C92120"/>
    <w:rsid w:val="00CC26D2"/>
    <w:rsid w:val="00CF09C0"/>
    <w:rsid w:val="00CF7AB9"/>
    <w:rsid w:val="00D05ADC"/>
    <w:rsid w:val="00D15FF1"/>
    <w:rsid w:val="00D1743F"/>
    <w:rsid w:val="00D23D11"/>
    <w:rsid w:val="00D253AC"/>
    <w:rsid w:val="00D25A95"/>
    <w:rsid w:val="00D8238D"/>
    <w:rsid w:val="00DA7AF0"/>
    <w:rsid w:val="00DB02DF"/>
    <w:rsid w:val="00DB6628"/>
    <w:rsid w:val="00E31330"/>
    <w:rsid w:val="00E437F6"/>
    <w:rsid w:val="00E43F59"/>
    <w:rsid w:val="00E61310"/>
    <w:rsid w:val="00E72D75"/>
    <w:rsid w:val="00E75009"/>
    <w:rsid w:val="00E8389C"/>
    <w:rsid w:val="00EB6231"/>
    <w:rsid w:val="00EC1802"/>
    <w:rsid w:val="00ED6848"/>
    <w:rsid w:val="00EE6F3D"/>
    <w:rsid w:val="00EE7316"/>
    <w:rsid w:val="00EF0986"/>
    <w:rsid w:val="00F004C9"/>
    <w:rsid w:val="00F14D4F"/>
    <w:rsid w:val="00F22DF8"/>
    <w:rsid w:val="00F573DB"/>
    <w:rsid w:val="00F769A8"/>
    <w:rsid w:val="00F8041F"/>
    <w:rsid w:val="00FC1DDD"/>
    <w:rsid w:val="00FE1F0C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C1460B808F0F759341C3B7B656BFEAC94D95551F3A24618EA39D67A7A629C3969C76DB4E95113DF03A04142707FC8939DB70BAD5EFCE84D51BBBB043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4F17-8A6E-4345-9D1B-FB6CEEBC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Копыленко</cp:lastModifiedBy>
  <cp:revision>8</cp:revision>
  <cp:lastPrinted>2021-11-11T02:49:00Z</cp:lastPrinted>
  <dcterms:created xsi:type="dcterms:W3CDTF">2021-11-09T06:26:00Z</dcterms:created>
  <dcterms:modified xsi:type="dcterms:W3CDTF">2021-11-16T02:05:00Z</dcterms:modified>
</cp:coreProperties>
</file>