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34B0">
      <w:pPr>
        <w:pStyle w:val="ConsPlusNormal"/>
        <w:jc w:val="both"/>
        <w:outlineLvl w:val="0"/>
      </w:pPr>
    </w:p>
    <w:p w:rsidR="00000000" w:rsidRDefault="00B234B0">
      <w:pPr>
        <w:pStyle w:val="ConsPlusTitle"/>
        <w:jc w:val="center"/>
        <w:outlineLvl w:val="0"/>
      </w:pPr>
      <w:r>
        <w:t>БАРНАУЛЬСКАЯ ГОРОДСКАЯ ДУМА</w:t>
      </w:r>
    </w:p>
    <w:p w:rsidR="00000000" w:rsidRDefault="00B234B0">
      <w:pPr>
        <w:pStyle w:val="ConsPlusTitle"/>
        <w:jc w:val="both"/>
      </w:pPr>
    </w:p>
    <w:p w:rsidR="00000000" w:rsidRDefault="00B234B0">
      <w:pPr>
        <w:pStyle w:val="ConsPlusTitle"/>
        <w:jc w:val="center"/>
      </w:pPr>
      <w:r>
        <w:t>РЕШЕНИЕ</w:t>
      </w:r>
    </w:p>
    <w:p w:rsidR="00000000" w:rsidRDefault="00B234B0">
      <w:pPr>
        <w:pStyle w:val="ConsPlusTitle"/>
        <w:jc w:val="center"/>
      </w:pPr>
    </w:p>
    <w:p w:rsidR="00000000" w:rsidRDefault="00B234B0">
      <w:pPr>
        <w:pStyle w:val="ConsPlusTitle"/>
        <w:jc w:val="center"/>
      </w:pPr>
      <w:r>
        <w:t>от 2 июня 2023 г. N 149</w:t>
      </w:r>
    </w:p>
    <w:p w:rsidR="00000000" w:rsidRDefault="00B234B0">
      <w:pPr>
        <w:pStyle w:val="ConsPlusTitle"/>
        <w:jc w:val="both"/>
      </w:pPr>
    </w:p>
    <w:p w:rsidR="00000000" w:rsidRDefault="00B234B0">
      <w:pPr>
        <w:pStyle w:val="ConsPlusTitle"/>
        <w:jc w:val="center"/>
      </w:pPr>
      <w:r>
        <w:t>О ВНЕСЕНИИ ИЗМЕНЕНИЙ И ДОПОЛНЕНИЯ В РЕШЕНИЕ ГОРОДСКОЙ ДУМЫ</w:t>
      </w:r>
    </w:p>
    <w:p w:rsidR="00000000" w:rsidRDefault="00B234B0">
      <w:pPr>
        <w:pStyle w:val="ConsPlusTitle"/>
        <w:jc w:val="center"/>
      </w:pPr>
      <w:r>
        <w:t>ОТ 30.11.2021 N 798 "ОБ УТВЕРЖДЕНИИ ПОЛОЖЕНИЯ</w:t>
      </w:r>
    </w:p>
    <w:p w:rsidR="00000000" w:rsidRDefault="00B234B0">
      <w:pPr>
        <w:pStyle w:val="ConsPlusTitle"/>
        <w:jc w:val="center"/>
      </w:pPr>
      <w:r>
        <w:t>О МУНИЦИПАЛЬНОМ КОНТРОЛЕ В СФЕРЕ БЛАГОУСТРОЙСТВА</w:t>
      </w:r>
    </w:p>
    <w:p w:rsidR="00000000" w:rsidRDefault="00B234B0">
      <w:pPr>
        <w:pStyle w:val="ConsPlusTitle"/>
        <w:jc w:val="center"/>
      </w:pPr>
      <w:r>
        <w:t>НА ТЕРРИТОРИИ ГОРОДСКОГО ОКРУГА - ГОРОДА БАРНАУЛА</w:t>
      </w:r>
    </w:p>
    <w:p w:rsidR="00000000" w:rsidRDefault="00B234B0">
      <w:pPr>
        <w:pStyle w:val="ConsPlusTitle"/>
        <w:jc w:val="center"/>
      </w:pPr>
      <w:r>
        <w:t>АЛТАЙСКОГО КРАЯ"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ind w:firstLine="540"/>
        <w:jc w:val="both"/>
      </w:pPr>
      <w:r>
        <w:t>В целях приведения муниципального правового акта в соответствие с действующим законодательств</w:t>
      </w:r>
      <w:r>
        <w:t xml:space="preserve">ом, учитывая протест прокурора </w:t>
      </w:r>
      <w:proofErr w:type="gramStart"/>
      <w:r>
        <w:t>г</w:t>
      </w:r>
      <w:proofErr w:type="gramEnd"/>
      <w:r>
        <w:t>. Барнаула, городская Дума решила: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1. Внести в Положение о муниципальном контроле в сфере благоустройства на территории городского округа - города Барнаула Алтайского края, утвержденное решением городской Думы от 30.11.2021 N 798 (далее - Положение), следующие изменения и дополнение: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1.1. П</w:t>
      </w:r>
      <w:r>
        <w:t>ункт 1.5 изложить в следующей редакции: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"1.5. Объектами муниципального контроля в сфере благоустройства являются: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 xml:space="preserve">деятельность, действия (бездействие) контролируемых лиц, в рамках которых должны соблюдаться связанные с осуществлением предпринимательской и </w:t>
      </w:r>
      <w:r>
        <w:t>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- обязательные требования). Перечень мун</w:t>
      </w:r>
      <w:r>
        <w:t>иципальных нормативных правовых актов города Барнаула, содержащих обязательные требования, оценка соблюдения которых является предметом контроля, ежегодно утверждается администрациями районов города Барнаула;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результаты деятельности контролируемых лиц, в т</w:t>
      </w:r>
      <w:r>
        <w:t>ом числе работы и услуги, к которым предъявляются обязательные требования;</w:t>
      </w:r>
    </w:p>
    <w:p w:rsidR="00000000" w:rsidRDefault="00B234B0">
      <w:pPr>
        <w:pStyle w:val="ConsPlusNormal"/>
        <w:spacing w:before="240"/>
        <w:ind w:firstLine="540"/>
        <w:jc w:val="both"/>
      </w:pPr>
      <w:proofErr w:type="gramStart"/>
      <w: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</w:t>
      </w:r>
      <w:r>
        <w:t>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</w:t>
      </w:r>
      <w:r>
        <w:t>и контролируемых лиц, к которым предъявляются обязательные требования (далее - производственные объекты).";</w:t>
      </w:r>
      <w:proofErr w:type="gramEnd"/>
    </w:p>
    <w:p w:rsidR="00000000" w:rsidRDefault="00B234B0">
      <w:pPr>
        <w:pStyle w:val="ConsPlusNormal"/>
        <w:spacing w:before="240"/>
        <w:ind w:firstLine="540"/>
        <w:jc w:val="both"/>
      </w:pPr>
      <w:r>
        <w:t>1.2. Дополнить пунктом 1.9 следующего содержания: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"1.9. Положение применяется с учетом особенностей, установленных постановлением Правительства Росс</w:t>
      </w:r>
      <w:r>
        <w:t xml:space="preserve">ийской Федерации от 10.03.2022 N 336 "Об особенностях организации и </w:t>
      </w:r>
      <w:r>
        <w:lastRenderedPageBreak/>
        <w:t>осуществления государственного контроля (надзора), муниципального контроля</w:t>
      </w:r>
      <w:proofErr w:type="gramStart"/>
      <w:r>
        <w:t>.";</w:t>
      </w:r>
    </w:p>
    <w:p w:rsidR="00000000" w:rsidRDefault="00B234B0">
      <w:pPr>
        <w:pStyle w:val="ConsPlusNormal"/>
        <w:spacing w:before="240"/>
        <w:ind w:firstLine="540"/>
        <w:jc w:val="both"/>
      </w:pPr>
      <w:proofErr w:type="gramEnd"/>
      <w:r>
        <w:t>1.3. Абзац 2 пункта 2.7 изложить в следующей редакции: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"По итогам обобщения правоприменительной практики контр</w:t>
      </w:r>
      <w:r>
        <w:t>ольный орган обеспечивает подготовку проекта доклада, содержащего результаты обобщения правоприменительной практики (далее - доклад о правоприменительной практике). В соответствии со статьей 47 Федерального закона от 31.07.2020 N 248-ФЗ доклад о правоприме</w:t>
      </w:r>
      <w:r>
        <w:t xml:space="preserve">нительной практике готовится контрольным органом один раз в год до 1 февраля года, следующего </w:t>
      </w:r>
      <w:proofErr w:type="gramStart"/>
      <w:r>
        <w:t>за</w:t>
      </w:r>
      <w:proofErr w:type="gramEnd"/>
      <w:r>
        <w:t xml:space="preserve"> отчетным.";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1.4. Абзац 5 пункта 2.7 изложить в следующей редакции:</w:t>
      </w:r>
    </w:p>
    <w:p w:rsidR="00000000" w:rsidRDefault="00B234B0">
      <w:pPr>
        <w:pStyle w:val="ConsPlusNormal"/>
        <w:spacing w:before="240"/>
        <w:ind w:firstLine="540"/>
        <w:jc w:val="both"/>
      </w:pPr>
      <w:proofErr w:type="gramStart"/>
      <w:r>
        <w:t>"Результаты обобщения правоприменительной практики включаются в ежегодный доклад о муниципал</w:t>
      </w:r>
      <w:r>
        <w:t>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показателей, который го</w:t>
      </w:r>
      <w:r>
        <w:t>товится контрольным органом в порядке, установленном постановлением Правительства Российской Федерации от 07.12.2020 N 2041 "Об утверждении требований к подготовке докладов</w:t>
      </w:r>
      <w:proofErr w:type="gramEnd"/>
      <w:r>
        <w:t xml:space="preserve"> о видах государственного контроля (надзора), муниципального контроля и сводного док</w:t>
      </w:r>
      <w:r>
        <w:t>лада о государственном контроле (надзоре), муниципальном контроле в Российской Федерации"</w:t>
      </w:r>
      <w:proofErr w:type="gramStart"/>
      <w:r>
        <w:t>."</w:t>
      </w:r>
      <w:proofErr w:type="gramEnd"/>
      <w:r>
        <w:t>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1.5. Пункт 6.2 изложить в следующей редакции: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"6.2. Контрольные органы при осуществлении муниципального контроля относят объекты контроля к одной из следующих кате</w:t>
      </w:r>
      <w:r>
        <w:t>горий риска причинения вреда (ущерба) (далее - категория риска):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чрезвычайно высокий риск;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высокий риск;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средний риск;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низкий риск</w:t>
      </w:r>
      <w:proofErr w:type="gramStart"/>
      <w:r>
        <w:t>.";</w:t>
      </w:r>
      <w:proofErr w:type="gramEnd"/>
    </w:p>
    <w:p w:rsidR="00000000" w:rsidRDefault="00B234B0">
      <w:pPr>
        <w:pStyle w:val="ConsPlusNormal"/>
        <w:spacing w:before="240"/>
        <w:ind w:firstLine="540"/>
        <w:jc w:val="both"/>
      </w:pPr>
      <w:r>
        <w:t>1.6. Пункт 6.7 изложить в следующей редакции: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"6.7. Проведение плановых контрольных мероприятий в отношении объектов контр</w:t>
      </w:r>
      <w:r>
        <w:t>оля, в зависимости от присвоенной категории риска осуществляется со следующей периодичностью: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чрезвычайно высокий риск причинения вреда (ущерба) - одна выездная или одна документарная проверка, или один рейдовый осмотр, или один инспекционный визит в год;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высокий риск причинения вреда (ущерба) - одна выездная или одна документарная проверка, или один рейдовый осмотр, или один инспекционный визит в два года;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средний риск причинения вреда (ущерба) - одна выездная или одна документарная проверка, или один рейд</w:t>
      </w:r>
      <w:r>
        <w:t>овый осмотр, или один инспекционный визит в три года.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lastRenderedPageBreak/>
        <w:t>Плановые контрольные мероприятия не проводятся в отношении объектов контроля, отнесенных к категории низкого риска</w:t>
      </w:r>
      <w:proofErr w:type="gramStart"/>
      <w:r>
        <w:t>.";</w:t>
      </w:r>
      <w:proofErr w:type="gramEnd"/>
    </w:p>
    <w:p w:rsidR="00000000" w:rsidRDefault="00B234B0">
      <w:pPr>
        <w:pStyle w:val="ConsPlusNormal"/>
        <w:spacing w:before="240"/>
        <w:ind w:firstLine="540"/>
        <w:jc w:val="both"/>
      </w:pPr>
      <w:r>
        <w:t>1.7. Пункты 6.9 - 6.11 изложить в следующей редакции: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"6.9. При осуществлении муници</w:t>
      </w:r>
      <w:r>
        <w:t>пального контроля в сфере благоустройства устанавливается индикатор риска нарушения обязательных требований, проверяемых в рамках осуществления муниципального контроля в сфере благоустройства, согласно приложению 4 к Положению.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6.10. При отнесении объектов</w:t>
      </w:r>
      <w:r>
        <w:t xml:space="preserve"> контроля к категориям риска, применении критериев риска и выявлении индикатора риска нарушения обязательных требований контрольными органами могут использоваться сведения, указанные в части 1 статьи 24 Федерального закона от 31.07.2020 N 248-ФЗ.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>6.11. Сбор, обработка, анализ и учет сведений об объектах контроля в целях их отнесения к категориям риска либо определения индикатора риска нарушения обязательных требований осуществляется контрольными органами без взаимодействия с контролируемыми лицами.</w:t>
      </w:r>
      <w:r>
        <w:t xml:space="preserve"> При осуществлении сбора, обработки, анализа и учета сведений об объектах контроля в целях их отнесения к категориям риска либо определения индикатора риска нарушения обязательных требований на контролируемых лиц не могут возлагаться дополнительные обязанн</w:t>
      </w:r>
      <w:r>
        <w:t>ости, не предусмотренные федеральными законами</w:t>
      </w:r>
      <w:proofErr w:type="gramStart"/>
      <w:r>
        <w:t>.";</w:t>
      </w:r>
      <w:proofErr w:type="gramEnd"/>
    </w:p>
    <w:p w:rsidR="00000000" w:rsidRDefault="00B234B0">
      <w:pPr>
        <w:pStyle w:val="ConsPlusNormal"/>
        <w:spacing w:before="240"/>
        <w:ind w:firstLine="540"/>
        <w:jc w:val="both"/>
      </w:pPr>
      <w:r>
        <w:t xml:space="preserve">1.8. Приложение 3 к Положению изложить в новой редакции согласно </w:t>
      </w:r>
      <w:hyperlink w:anchor="Par69" w:tooltip="КРИТЕРИИ" w:history="1">
        <w:r>
          <w:rPr>
            <w:color w:val="0000FF"/>
          </w:rPr>
          <w:t>приложению 1</w:t>
        </w:r>
      </w:hyperlink>
      <w:r>
        <w:t xml:space="preserve"> к решению;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 xml:space="preserve">1.9. Приложение 4 к Положению изложить в новой редакции согласно </w:t>
      </w:r>
      <w:hyperlink w:anchor="Par125" w:tooltip="ИНДИКАТОР" w:history="1">
        <w:r>
          <w:rPr>
            <w:color w:val="0000FF"/>
          </w:rPr>
          <w:t>приложению 2</w:t>
        </w:r>
      </w:hyperlink>
      <w:r>
        <w:t xml:space="preserve"> к решению.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 xml:space="preserve">2.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</w:t>
      </w:r>
      <w:proofErr w:type="gramStart"/>
      <w:r>
        <w:t>г</w:t>
      </w:r>
      <w:proofErr w:type="gramEnd"/>
      <w:r>
        <w:t>. Барнаула".</w:t>
      </w:r>
    </w:p>
    <w:p w:rsidR="00000000" w:rsidRDefault="00B234B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</w:t>
      </w:r>
      <w:r>
        <w:t>нием решения возложить на комитет по городскому хозяйству, градостроительству и землепользованию (Струченко С.В.).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right"/>
      </w:pPr>
      <w:r>
        <w:t>Председатель городской Думы</w:t>
      </w:r>
    </w:p>
    <w:p w:rsidR="00000000" w:rsidRDefault="00B234B0">
      <w:pPr>
        <w:pStyle w:val="ConsPlusNormal"/>
        <w:jc w:val="right"/>
      </w:pPr>
      <w:r>
        <w:t>Г.А.БУЕВИЧ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right"/>
      </w:pPr>
      <w:r>
        <w:t>Глава города</w:t>
      </w:r>
    </w:p>
    <w:p w:rsidR="00000000" w:rsidRDefault="00B234B0">
      <w:pPr>
        <w:pStyle w:val="ConsPlusNormal"/>
        <w:jc w:val="right"/>
      </w:pPr>
      <w:r>
        <w:t>В.Г.ФРАНК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right"/>
        <w:outlineLvl w:val="0"/>
      </w:pPr>
      <w:r>
        <w:t>Приложение 1</w:t>
      </w:r>
    </w:p>
    <w:p w:rsidR="00000000" w:rsidRDefault="00B234B0">
      <w:pPr>
        <w:pStyle w:val="ConsPlusNormal"/>
        <w:jc w:val="right"/>
      </w:pPr>
      <w:r>
        <w:t>к Решению</w:t>
      </w:r>
    </w:p>
    <w:p w:rsidR="00000000" w:rsidRDefault="00B234B0">
      <w:pPr>
        <w:pStyle w:val="ConsPlusNormal"/>
        <w:jc w:val="right"/>
      </w:pPr>
      <w:r>
        <w:lastRenderedPageBreak/>
        <w:t>городской Думы</w:t>
      </w:r>
    </w:p>
    <w:p w:rsidR="00000000" w:rsidRDefault="00B234B0">
      <w:pPr>
        <w:pStyle w:val="ConsPlusNormal"/>
        <w:jc w:val="right"/>
      </w:pPr>
      <w:r>
        <w:t>от 2 июня 2023 г. N 149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right"/>
      </w:pPr>
      <w:r>
        <w:t>Приложени</w:t>
      </w:r>
      <w:r>
        <w:t>е 3</w:t>
      </w:r>
    </w:p>
    <w:p w:rsidR="00000000" w:rsidRDefault="00B234B0">
      <w:pPr>
        <w:pStyle w:val="ConsPlusNormal"/>
        <w:jc w:val="right"/>
      </w:pPr>
      <w:r>
        <w:t>к Положению</w:t>
      </w:r>
    </w:p>
    <w:p w:rsidR="00000000" w:rsidRDefault="00B234B0">
      <w:pPr>
        <w:pStyle w:val="ConsPlusNormal"/>
        <w:jc w:val="right"/>
      </w:pPr>
      <w:r>
        <w:t>о муниципальном контроле</w:t>
      </w:r>
    </w:p>
    <w:p w:rsidR="00000000" w:rsidRDefault="00B234B0">
      <w:pPr>
        <w:pStyle w:val="ConsPlusNormal"/>
        <w:jc w:val="right"/>
      </w:pPr>
      <w:r>
        <w:t>в сфере благоустройства на территории</w:t>
      </w:r>
    </w:p>
    <w:p w:rsidR="00000000" w:rsidRDefault="00B234B0">
      <w:pPr>
        <w:pStyle w:val="ConsPlusNormal"/>
        <w:jc w:val="right"/>
      </w:pPr>
      <w:r>
        <w:t>городского округа - города Барнаула</w:t>
      </w:r>
    </w:p>
    <w:p w:rsidR="00000000" w:rsidRDefault="00B234B0">
      <w:pPr>
        <w:pStyle w:val="ConsPlusNormal"/>
        <w:jc w:val="right"/>
      </w:pPr>
      <w:r>
        <w:t>Алтайского края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Title"/>
        <w:jc w:val="center"/>
      </w:pPr>
      <w:bookmarkStart w:id="0" w:name="Par69"/>
      <w:bookmarkEnd w:id="0"/>
      <w:r>
        <w:t>КРИТЕРИИ</w:t>
      </w:r>
    </w:p>
    <w:p w:rsidR="00000000" w:rsidRDefault="00B234B0">
      <w:pPr>
        <w:pStyle w:val="ConsPlusTitle"/>
        <w:jc w:val="center"/>
      </w:pPr>
      <w:r>
        <w:t>ОТНЕСЕНИЯ ОБЪЕКТОВ КОНТРОЛЯ К КАТЕГОРИЯМ РИСКА ПРИЧИНЕНИЯ</w:t>
      </w:r>
    </w:p>
    <w:p w:rsidR="00000000" w:rsidRDefault="00B234B0">
      <w:pPr>
        <w:pStyle w:val="ConsPlusTitle"/>
        <w:jc w:val="center"/>
      </w:pPr>
      <w:r>
        <w:t>ВРЕДА (УЩЕРБА) ПРИ ОСУЩЕСТВЛЕНИИ МУНИЦИПАЛЬНОГО КОНТРОЛЯ</w:t>
      </w:r>
    </w:p>
    <w:p w:rsidR="00000000" w:rsidRDefault="00B234B0">
      <w:pPr>
        <w:pStyle w:val="ConsPlusTitle"/>
        <w:jc w:val="center"/>
      </w:pPr>
      <w:r>
        <w:t>В СФЕРЕ БЛАГОУСТРОЙСТВА</w:t>
      </w:r>
    </w:p>
    <w:p w:rsidR="00000000" w:rsidRDefault="00B234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556"/>
        <w:gridCol w:w="2835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Критерии отнесения объектов контроля к категориям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 xml:space="preserve">Несоблюдение в ходе контрольного мероприятия контролируемыми лицами обязательных требований </w:t>
            </w:r>
            <w:r>
              <w:t>муниципальных нормативных правовых актов города Барнаула в сфере благоустройства: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а) наличие в течение календарного года, предшествующего году составления планов проведения плановых контрольных мероприятий на очередной календарный год, случаев причинения вреда жизни и здоровью физических лиц, имуществу третьих лиц в результате нарушения</w:t>
            </w:r>
            <w:r>
              <w:t xml:space="preserve"> контролируемыми лицами обязательных требований муниципальных нормативных правовых актов города Барнаула в сфере благоустройства;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чрезвычайно высокая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б) установление в течение календарного года, предшествующего году составления планов проведения плановых</w:t>
            </w:r>
            <w:r>
              <w:t xml:space="preserve"> контрольных мероприятий на очередной календарный год, фактов несоблюдения контролируемым лицом обязательных требований муниципальных нормативных правовых актов города Барнаула в сфере благоустройства - вынесено предписание об устранении выявленных нарушен</w:t>
            </w:r>
            <w:r>
              <w:t>ий;</w:t>
            </w:r>
          </w:p>
          <w:p w:rsidR="00000000" w:rsidRDefault="00B234B0">
            <w:pPr>
              <w:pStyle w:val="ConsPlusNormal"/>
              <w:jc w:val="both"/>
            </w:pPr>
            <w:r>
              <w:t xml:space="preserve">наличие в течение календарного года, предшествующего году составления планов проведения плановых контрольных мероприятий на очередной календарный год, случаев воспрепятствования контролируемыми лицами или </w:t>
            </w:r>
            <w:r>
              <w:lastRenderedPageBreak/>
              <w:t>их представителями доступу инспекторов на объек</w:t>
            </w:r>
            <w:r>
              <w:t>т контроля;</w:t>
            </w:r>
          </w:p>
          <w:p w:rsidR="00000000" w:rsidRDefault="00B234B0">
            <w:pPr>
              <w:pStyle w:val="ConsPlusNormal"/>
              <w:jc w:val="both"/>
            </w:pPr>
            <w:r>
              <w:t xml:space="preserve">наличие на дату принятия решения об отнесении объекта контроля к категории </w:t>
            </w:r>
            <w:proofErr w:type="gramStart"/>
            <w:r>
              <w:t>риска</w:t>
            </w:r>
            <w:proofErr w:type="gramEnd"/>
            <w:r>
              <w:t xml:space="preserve"> вступившего в силу в течение трех последних лет постановления о назначении административного наказания по объекту муниципального контроля, связанного с нарушением </w:t>
            </w:r>
            <w:r>
              <w:t>требований муниципальных нормативных правовых актов города Барнаула в сфере благоустройства;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lastRenderedPageBreak/>
              <w:t>высокая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proofErr w:type="gramStart"/>
            <w:r>
              <w:t>в) наличие у контрольного органа сведений о готовящихся нарушениях обязательных требований или признаках нарушений обязательных требований и (или) в случ</w:t>
            </w:r>
            <w:r>
              <w:t>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- объявлено предостережение о недопустимости нар</w:t>
            </w:r>
            <w:r>
              <w:t>ушения обязательных требований;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средняя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г) установление фактов соблюдения контролируемым лицом обязательных требований муниципальных нормативных правовых актов города Барнаула в сфере благоустройства - отсутствие нарушений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низкая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Проведение контрольных мероприятий в отношении контролируемых лиц: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а) ранее в отношении контролируемого лица контрольные мероприятия - не проводились;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высокая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б) последнее контрольное мероприятие в отношении контролируемого лица проведено - более трех лет назад;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средняя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в) последнее контрольное мероприятие в отношении контролируемого лица проведено - в течение последних трех лет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низкая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</w:t>
            </w:r>
            <w:r>
              <w:t xml:space="preserve">аний </w:t>
            </w:r>
            <w:r>
              <w:lastRenderedPageBreak/>
              <w:t>законодательства в сфере благоустройства: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</w:pP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proofErr w:type="gramStart"/>
            <w:r>
              <w:t>а)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два и более обращения граждан, организаций, органо</w:t>
            </w:r>
            <w:r>
              <w:t>в государственной власти, органов местного самоуправления, либо две и более информации от правоохранительных органов, из средств массовой информации, свидетельствующие о нарушении контролируемым лицом обязательных требований в сфере благоустройства;</w:t>
            </w:r>
            <w:proofErr w:type="gram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высока</w:t>
            </w:r>
            <w:r>
              <w:t>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б) в течение календарного года, предшествующего году составления планов проведения плановых контрольных мероприятий на очередной календарный год, поступило одно обращение гражданина, организации, органов государственной власти, органов местного самоуправле</w:t>
            </w:r>
            <w:r>
              <w:t>ния, информация от правоохранительных органов, из средств массовой информации о нарушении контролируемым лицом обязательных требований в сфере благоустройства;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средняя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</w:p>
        </w:tc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both"/>
            </w:pPr>
            <w:r>
              <w:t>в) в течение календарного года, предшествующего году составления планов проведения пла</w:t>
            </w:r>
            <w:r>
              <w:t>новых контрольных мероприятий на очередной календарный год, не поступало обращений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</w:t>
            </w:r>
            <w:r>
              <w:t>ующих о нарушении контролируемым лицом обязательных требований в сфере благоустройства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34B0">
            <w:pPr>
              <w:pStyle w:val="ConsPlusNormal"/>
              <w:jc w:val="center"/>
            </w:pPr>
            <w:r>
              <w:t>низкая</w:t>
            </w:r>
          </w:p>
        </w:tc>
      </w:tr>
    </w:tbl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right"/>
        <w:outlineLvl w:val="0"/>
      </w:pPr>
      <w:r>
        <w:t>Приложение 2</w:t>
      </w:r>
    </w:p>
    <w:p w:rsidR="00000000" w:rsidRDefault="00B234B0">
      <w:pPr>
        <w:pStyle w:val="ConsPlusNormal"/>
        <w:jc w:val="right"/>
      </w:pPr>
      <w:r>
        <w:t>к Решению</w:t>
      </w:r>
    </w:p>
    <w:p w:rsidR="00000000" w:rsidRDefault="00B234B0">
      <w:pPr>
        <w:pStyle w:val="ConsPlusNormal"/>
        <w:jc w:val="right"/>
      </w:pPr>
      <w:r>
        <w:t>городской Думы</w:t>
      </w:r>
    </w:p>
    <w:p w:rsidR="00000000" w:rsidRDefault="00B234B0">
      <w:pPr>
        <w:pStyle w:val="ConsPlusNormal"/>
        <w:jc w:val="right"/>
      </w:pPr>
      <w:r>
        <w:t>от 2 июня 2023 г. N 149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right"/>
      </w:pPr>
      <w:r>
        <w:t>Приложение 4</w:t>
      </w:r>
    </w:p>
    <w:p w:rsidR="00000000" w:rsidRDefault="00B234B0">
      <w:pPr>
        <w:pStyle w:val="ConsPlusNormal"/>
        <w:jc w:val="right"/>
      </w:pPr>
      <w:r>
        <w:t>к Положению</w:t>
      </w:r>
    </w:p>
    <w:p w:rsidR="00000000" w:rsidRDefault="00B234B0">
      <w:pPr>
        <w:pStyle w:val="ConsPlusNormal"/>
        <w:jc w:val="right"/>
      </w:pPr>
      <w:r>
        <w:lastRenderedPageBreak/>
        <w:t>о муниципальном контроле</w:t>
      </w:r>
    </w:p>
    <w:p w:rsidR="00000000" w:rsidRDefault="00B234B0">
      <w:pPr>
        <w:pStyle w:val="ConsPlusNormal"/>
        <w:jc w:val="right"/>
      </w:pPr>
      <w:r>
        <w:t>в сфере благоустройства на территории</w:t>
      </w:r>
    </w:p>
    <w:p w:rsidR="00000000" w:rsidRDefault="00B234B0">
      <w:pPr>
        <w:pStyle w:val="ConsPlusNormal"/>
        <w:jc w:val="right"/>
      </w:pPr>
      <w:r>
        <w:t>городского округа - города Барнаула</w:t>
      </w:r>
    </w:p>
    <w:p w:rsidR="00000000" w:rsidRDefault="00B234B0">
      <w:pPr>
        <w:pStyle w:val="ConsPlusNormal"/>
        <w:jc w:val="right"/>
      </w:pPr>
      <w:r>
        <w:t>Алтайского края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Title"/>
        <w:jc w:val="center"/>
      </w:pPr>
      <w:bookmarkStart w:id="1" w:name="Par125"/>
      <w:bookmarkEnd w:id="1"/>
      <w:r>
        <w:t>ИНДИКАТОР</w:t>
      </w:r>
    </w:p>
    <w:p w:rsidR="00000000" w:rsidRDefault="00B234B0">
      <w:pPr>
        <w:pStyle w:val="ConsPlusTitle"/>
        <w:jc w:val="center"/>
      </w:pPr>
      <w:r>
        <w:t>РИСКА НАРУШЕНИЯ ОБЯЗАТЕЛЬНЫХ ТРЕБОВАНИЙ,</w:t>
      </w:r>
    </w:p>
    <w:p w:rsidR="00000000" w:rsidRDefault="00B234B0">
      <w:pPr>
        <w:pStyle w:val="ConsPlusTitle"/>
        <w:jc w:val="center"/>
      </w:pPr>
      <w:proofErr w:type="gramStart"/>
      <w:r>
        <w:t>ПРОВЕРЯЕМЫХ В РАМКАХ ОСУЩЕСТВЛЕНИЯ МУНИЦИПАЛЬНОГО КОНТРОЛЯ</w:t>
      </w:r>
      <w:proofErr w:type="gramEnd"/>
    </w:p>
    <w:p w:rsidR="00000000" w:rsidRDefault="00B234B0">
      <w:pPr>
        <w:pStyle w:val="ConsPlusTitle"/>
        <w:jc w:val="center"/>
      </w:pPr>
      <w:r>
        <w:t>В СФЕРЕ БЛАГОУСТРОЙСТВА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ind w:firstLine="540"/>
        <w:jc w:val="both"/>
      </w:pPr>
      <w:r>
        <w:t>Неоднократное поступление в контрольный орган от органов</w:t>
      </w:r>
      <w:r>
        <w:t xml:space="preserve"> государственной власти, органов местного самоуправления, юридических лиц, общественных объединений, граждан, из средств массовой информации, информационно-телекоммуникационной сети "Интернет" сведений, которые могут свидетельствовать о наличии нарушений к</w:t>
      </w:r>
      <w:r>
        <w:t>онтролируемыми лицами обязательных требований муниципальных нормативных правовых актов города Барнаула в сфере благоустройства.</w:t>
      </w:r>
    </w:p>
    <w:p w:rsidR="00000000" w:rsidRDefault="00B234B0">
      <w:pPr>
        <w:pStyle w:val="ConsPlusNormal"/>
        <w:jc w:val="both"/>
      </w:pPr>
    </w:p>
    <w:p w:rsidR="00000000" w:rsidRDefault="00B234B0">
      <w:pPr>
        <w:pStyle w:val="ConsPlusNormal"/>
        <w:jc w:val="both"/>
      </w:pPr>
    </w:p>
    <w:p w:rsidR="00B234B0" w:rsidRDefault="00B234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34B0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B0" w:rsidRDefault="00B234B0">
      <w:pPr>
        <w:spacing w:after="0" w:line="240" w:lineRule="auto"/>
      </w:pPr>
      <w:r>
        <w:separator/>
      </w:r>
    </w:p>
  </w:endnote>
  <w:endnote w:type="continuationSeparator" w:id="0">
    <w:p w:rsidR="00B234B0" w:rsidRDefault="00B2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34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34B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34B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34B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220E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220E1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220E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220E1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234B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B0" w:rsidRDefault="00B234B0">
      <w:pPr>
        <w:spacing w:after="0" w:line="240" w:lineRule="auto"/>
      </w:pPr>
      <w:r>
        <w:separator/>
      </w:r>
    </w:p>
  </w:footnote>
  <w:footnote w:type="continuationSeparator" w:id="0">
    <w:p w:rsidR="00B234B0" w:rsidRDefault="00B2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34B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Решение Барнаульской городской Думы от 02.06.2023 N 149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и дополнения в реше</w:t>
          </w:r>
          <w:r>
            <w:rPr>
              <w:rFonts w:ascii="Tahoma" w:hAnsi="Tahoma" w:cs="Tahoma"/>
              <w:sz w:val="16"/>
              <w:szCs w:val="16"/>
            </w:rPr>
            <w:t>ние городской Думы от 3...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34B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16.06.2023</w:t>
          </w:r>
        </w:p>
      </w:tc>
    </w:tr>
  </w:tbl>
  <w:p w:rsidR="00000000" w:rsidRDefault="00B234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234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E2397"/>
    <w:rsid w:val="005E2397"/>
    <w:rsid w:val="00B220E1"/>
    <w:rsid w:val="00B2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10185</Characters>
  <Application>Microsoft Office Word</Application>
  <DocSecurity>2</DocSecurity>
  <Lines>84</Lines>
  <Paragraphs>23</Paragraphs>
  <ScaleCrop>false</ScaleCrop>
  <Company>КонсультантПлюс Версия 4022.00.55</Company>
  <LinksUpToDate>false</LinksUpToDate>
  <CharactersWithSpaces>11948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02.06.2023 N 149"О внесении изменений и дополнения в решение городской Думы от 30.11.2021 N 798 "Об утверждении Положения о муниципальном контроле в сфере благоустройства на территории городского округа - города Барн</dc:title>
  <dc:creator>pressa</dc:creator>
  <cp:lastModifiedBy>pressa</cp:lastModifiedBy>
  <cp:revision>2</cp:revision>
  <dcterms:created xsi:type="dcterms:W3CDTF">2023-06-16T01:42:00Z</dcterms:created>
  <dcterms:modified xsi:type="dcterms:W3CDTF">2023-06-16T01:42:00Z</dcterms:modified>
</cp:coreProperties>
</file>