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274" w:rsidRPr="00906773" w:rsidRDefault="001C6274" w:rsidP="00906773">
      <w:pPr>
        <w:jc w:val="right"/>
        <w:rPr>
          <w:rFonts w:ascii="Times New Roman" w:hAnsi="Times New Roman" w:cs="Times New Roman"/>
          <w:sz w:val="28"/>
          <w:szCs w:val="28"/>
        </w:rPr>
      </w:pPr>
      <w:r w:rsidRPr="009067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Приложение 4</w:t>
      </w:r>
    </w:p>
    <w:p w:rsidR="001C6274" w:rsidRPr="00906773" w:rsidRDefault="002766B3" w:rsidP="00906773">
      <w:pPr>
        <w:jc w:val="center"/>
        <w:rPr>
          <w:sz w:val="28"/>
          <w:szCs w:val="28"/>
        </w:rPr>
      </w:pPr>
      <w:r w:rsidRPr="00906773">
        <w:rPr>
          <w:rFonts w:ascii="Times New Roman" w:hAnsi="Times New Roman" w:cs="Times New Roman"/>
          <w:b/>
          <w:sz w:val="28"/>
          <w:szCs w:val="28"/>
        </w:rPr>
        <w:t>Сводный отчет об оценке эффективности налоговых расходов города Барнаула за 202</w:t>
      </w:r>
      <w:r w:rsidR="00D857F7">
        <w:rPr>
          <w:rFonts w:ascii="Times New Roman" w:hAnsi="Times New Roman" w:cs="Times New Roman"/>
          <w:b/>
          <w:sz w:val="28"/>
          <w:szCs w:val="28"/>
        </w:rPr>
        <w:t>2</w:t>
      </w:r>
      <w:r w:rsidRPr="0090677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tbl>
      <w:tblPr>
        <w:tblW w:w="15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3064"/>
        <w:gridCol w:w="2410"/>
        <w:gridCol w:w="2552"/>
        <w:gridCol w:w="1843"/>
        <w:gridCol w:w="2835"/>
        <w:gridCol w:w="1984"/>
      </w:tblGrid>
      <w:tr w:rsidR="001C6274" w:rsidRPr="00906773" w:rsidTr="00644731">
        <w:trPr>
          <w:trHeight w:val="2625"/>
        </w:trPr>
        <w:tc>
          <w:tcPr>
            <w:tcW w:w="617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№ п/п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Наименование налогового расхода города Барнаула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Реквизиты муниципального правового акта, устанавливающего налоговую льготу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Численность плательщиков налогов и сборов, воспользовавшихся налоговой льготой в отчетном периоде (единиц)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 xml:space="preserve">Объем налоговых льгот за отчетный период </w:t>
            </w:r>
            <w:r w:rsid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br/>
            </w: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(тыс. рублей)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Цели предоставления налоговых льгот, освобождений и иных преференции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1C6274" w:rsidRPr="00906773" w:rsidRDefault="001C6274" w:rsidP="00644731">
            <w:pPr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Эффективность налоговой льготы (да/нет)</w:t>
            </w:r>
          </w:p>
        </w:tc>
      </w:tr>
      <w:tr w:rsidR="001C6274" w:rsidRPr="00906773" w:rsidTr="00644731">
        <w:trPr>
          <w:trHeight w:val="375"/>
        </w:trPr>
        <w:tc>
          <w:tcPr>
            <w:tcW w:w="617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06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98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</w:tr>
      <w:tr w:rsidR="001C6274" w:rsidRPr="00906773" w:rsidTr="00644731">
        <w:trPr>
          <w:trHeight w:val="375"/>
        </w:trPr>
        <w:tc>
          <w:tcPr>
            <w:tcW w:w="15305" w:type="dxa"/>
            <w:gridSpan w:val="7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Налог на имущество физических лиц</w:t>
            </w:r>
          </w:p>
        </w:tc>
      </w:tr>
      <w:tr w:rsidR="00800AD4" w:rsidRPr="00906773" w:rsidTr="00652269">
        <w:trPr>
          <w:trHeight w:val="1875"/>
        </w:trPr>
        <w:tc>
          <w:tcPr>
            <w:tcW w:w="617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800AD4" w:rsidRPr="00800AD4" w:rsidRDefault="00800AD4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Освобождение от уплаты налога на имущество физических лиц детей-сирот и детей, оставшиеся без попечения родителей, в возрасте до 18 лет включительно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00AD4" w:rsidRPr="00800AD4" w:rsidRDefault="00800AD4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09.10.2019 №381 </w:t>
            </w:r>
            <w:r w:rsidR="006522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налоге на имущество физических лиц на территории города Барнаула</w:t>
            </w:r>
            <w:r w:rsidR="006522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00AD4" w:rsidRPr="00800AD4" w:rsidRDefault="00800AD4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  <w:r w:rsidR="006522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00AD4" w:rsidRPr="00800AD4" w:rsidRDefault="00652269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58</w:t>
            </w:r>
            <w:r w:rsidR="00800AD4"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00AD4" w:rsidRPr="00800AD4" w:rsidRDefault="00800AD4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0AD4" w:rsidRPr="00800AD4" w:rsidRDefault="00800AD4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800AD4" w:rsidRPr="00906773" w:rsidTr="00652269">
        <w:trPr>
          <w:trHeight w:val="2625"/>
        </w:trPr>
        <w:tc>
          <w:tcPr>
            <w:tcW w:w="617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2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800AD4" w:rsidRPr="00800AD4" w:rsidRDefault="00800AD4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Освобождение от уплаты налога на имущество физических лиц членов многодетных семей, признанных малоимущими в соответствии с Федеральным законом от 17.07.1999 №178-ФЗ </w:t>
            </w:r>
            <w:r w:rsidR="006522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государственной социальной помощи</w:t>
            </w:r>
            <w:r w:rsidR="006522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00AD4" w:rsidRPr="00800AD4" w:rsidRDefault="00800AD4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09.10.2019 №381 </w:t>
            </w:r>
            <w:r w:rsidR="006522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 налоге на имущество физических лиц на территории города Барнаула</w:t>
            </w:r>
            <w:r w:rsidR="006522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00AD4" w:rsidRPr="00800AD4" w:rsidRDefault="00652269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1 820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00AD4" w:rsidRPr="00800AD4" w:rsidRDefault="00652269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1 232,0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00AD4" w:rsidRPr="00800AD4" w:rsidRDefault="00800AD4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0AD4" w:rsidRPr="00800AD4" w:rsidRDefault="00800AD4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652269" w:rsidRPr="00906773" w:rsidTr="00652269">
        <w:trPr>
          <w:trHeight w:val="433"/>
        </w:trPr>
        <w:tc>
          <w:tcPr>
            <w:tcW w:w="6091" w:type="dxa"/>
            <w:gridSpan w:val="3"/>
            <w:shd w:val="clear" w:color="auto" w:fill="auto"/>
            <w:vAlign w:val="center"/>
          </w:tcPr>
          <w:p w:rsidR="00652269" w:rsidRPr="00800AD4" w:rsidRDefault="00652269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 по налогу на имущество физических лиц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52269" w:rsidRDefault="00652269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1 917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52269" w:rsidRDefault="00652269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1 290,0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52269" w:rsidRPr="00800AD4" w:rsidRDefault="00652269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652269" w:rsidRPr="00800AD4" w:rsidRDefault="00652269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1C6274" w:rsidRPr="00906773" w:rsidTr="00644731">
        <w:trPr>
          <w:trHeight w:val="375"/>
        </w:trPr>
        <w:tc>
          <w:tcPr>
            <w:tcW w:w="15305" w:type="dxa"/>
            <w:gridSpan w:val="7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  <w:lang w:eastAsia="ru-RU"/>
              </w:rPr>
              <w:t>Земельный налог</w:t>
            </w:r>
          </w:p>
        </w:tc>
      </w:tr>
      <w:tr w:rsidR="00800AD4" w:rsidRPr="00800AD4" w:rsidTr="00652269">
        <w:trPr>
          <w:trHeight w:val="657"/>
        </w:trPr>
        <w:tc>
          <w:tcPr>
            <w:tcW w:w="617" w:type="dxa"/>
            <w:shd w:val="clear" w:color="auto" w:fill="auto"/>
            <w:hideMark/>
          </w:tcPr>
          <w:p w:rsidR="00800AD4" w:rsidRPr="00906773" w:rsidRDefault="00800AD4" w:rsidP="0080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800AD4" w:rsidRPr="00800AD4" w:rsidRDefault="00800AD4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Освобождение от уплаты земельного налога налогоплательщиков в отношении земельных участков, предназначенных для дачного строительства, садоводства и огородничества, расположенные на территории городского округа - города Барнаула Алтайского края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00AD4" w:rsidRPr="00800AD4" w:rsidRDefault="00800AD4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6522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6522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00AD4" w:rsidRPr="00800AD4" w:rsidRDefault="00652269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17 223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00AD4" w:rsidRPr="00800AD4" w:rsidRDefault="00652269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4 851,7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00AD4" w:rsidRPr="00800AD4" w:rsidRDefault="00800AD4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0AD4" w:rsidRPr="00800AD4" w:rsidRDefault="00800AD4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800AD4" w:rsidRPr="00800AD4" w:rsidTr="00652269">
        <w:trPr>
          <w:trHeight w:val="2250"/>
        </w:trPr>
        <w:tc>
          <w:tcPr>
            <w:tcW w:w="617" w:type="dxa"/>
            <w:shd w:val="clear" w:color="auto" w:fill="auto"/>
            <w:hideMark/>
          </w:tcPr>
          <w:p w:rsidR="00800AD4" w:rsidRPr="00906773" w:rsidRDefault="00800AD4" w:rsidP="0080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800AD4" w:rsidRPr="00800AD4" w:rsidRDefault="00800AD4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Освобождение от уплаты земельного налога малоимущих семьи, состоящие на учете в органах социальной защиты населения, за земельные участки, занятые жилищным фондом</w:t>
            </w:r>
            <w:r w:rsidR="006522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Барнаула Алтайского края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00AD4" w:rsidRPr="00800AD4" w:rsidRDefault="00800AD4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6522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6522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00AD4" w:rsidRPr="00800AD4" w:rsidRDefault="00652269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58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00AD4" w:rsidRPr="00800AD4" w:rsidRDefault="00652269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30,8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00AD4" w:rsidRPr="00800AD4" w:rsidRDefault="00800AD4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0AD4" w:rsidRPr="00800AD4" w:rsidRDefault="00800AD4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800AD4" w:rsidRPr="00800AD4" w:rsidTr="00652269">
        <w:trPr>
          <w:trHeight w:val="2250"/>
        </w:trPr>
        <w:tc>
          <w:tcPr>
            <w:tcW w:w="617" w:type="dxa"/>
            <w:shd w:val="clear" w:color="auto" w:fill="auto"/>
            <w:hideMark/>
          </w:tcPr>
          <w:p w:rsidR="00800AD4" w:rsidRPr="00906773" w:rsidRDefault="00800AD4" w:rsidP="0080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800AD4" w:rsidRPr="00800AD4" w:rsidRDefault="00800AD4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Освобождение от уплаты земельного налога многодетных семей за земельные участки, занятые жилищным фондом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00AD4" w:rsidRPr="00800AD4" w:rsidRDefault="00800AD4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6522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65226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00AD4" w:rsidRPr="00800AD4" w:rsidRDefault="00652269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1 103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00AD4" w:rsidRPr="00800AD4" w:rsidRDefault="00652269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442,2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00AD4" w:rsidRPr="00800AD4" w:rsidRDefault="00800AD4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0AD4" w:rsidRPr="00800AD4" w:rsidRDefault="00800AD4" w:rsidP="006522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800AD4" w:rsidRPr="00800AD4" w:rsidTr="00AD1A78">
        <w:trPr>
          <w:trHeight w:val="2250"/>
        </w:trPr>
        <w:tc>
          <w:tcPr>
            <w:tcW w:w="617" w:type="dxa"/>
            <w:shd w:val="clear" w:color="auto" w:fill="auto"/>
            <w:hideMark/>
          </w:tcPr>
          <w:p w:rsidR="00800AD4" w:rsidRPr="00906773" w:rsidRDefault="00800AD4" w:rsidP="0080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Освобождение от уплаты земельного налога физических лиц за земельные участки, расположенные в зонах, затапливаемых паводковыми и (или) грунтовыми водами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00AD4" w:rsidRPr="00800AD4" w:rsidRDefault="00800AD4" w:rsidP="00FF1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FF12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FF12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00AD4" w:rsidRPr="00800AD4" w:rsidRDefault="00FF1249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00AD4" w:rsidRPr="00800AD4" w:rsidRDefault="00FF1249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1,7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800AD4" w:rsidRPr="00800AD4" w:rsidTr="00AD1A78">
        <w:trPr>
          <w:trHeight w:val="2250"/>
        </w:trPr>
        <w:tc>
          <w:tcPr>
            <w:tcW w:w="617" w:type="dxa"/>
            <w:shd w:val="clear" w:color="auto" w:fill="auto"/>
            <w:hideMark/>
          </w:tcPr>
          <w:p w:rsidR="00800AD4" w:rsidRPr="00906773" w:rsidRDefault="00800AD4" w:rsidP="00800A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</w:p>
        </w:tc>
        <w:tc>
          <w:tcPr>
            <w:tcW w:w="3064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Освобождение от уплаты земельного налога председателей органов территориального общественного самоуправления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800AD4" w:rsidRPr="00800AD4" w:rsidRDefault="00800AD4" w:rsidP="00FF12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FF12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FF124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800AD4" w:rsidRPr="00800AD4" w:rsidRDefault="00FF1249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800AD4" w:rsidRPr="00800AD4" w:rsidRDefault="00FF1249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8,2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Привлечение населения к решению вопросов развития города через институты гражданского общества, реализация государственной национальной политики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800AD4" w:rsidRPr="00800AD4" w:rsidRDefault="00800AD4" w:rsidP="00800AD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00AD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1C6274" w:rsidRPr="00800AD4" w:rsidTr="00644731">
        <w:trPr>
          <w:trHeight w:val="4500"/>
        </w:trPr>
        <w:tc>
          <w:tcPr>
            <w:tcW w:w="617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06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Освобождение от уплаты земельного налога участников Великой Отечественной войны, лиц, награжденные знаком 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Житель блокадного Ленинграда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бывших несовершеннолетних узников фашистских концлагерей за земельные участки, занятые жилищным фондом или приобретенные (предоставленные) для индивидуального жилищного строительства, строительства и эксплуатации стационарных индивидуальных гаражей</w:t>
            </w:r>
          </w:p>
        </w:tc>
        <w:tc>
          <w:tcPr>
            <w:tcW w:w="2410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1C6274" w:rsidRPr="00906773" w:rsidRDefault="00FF1249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  <w:hideMark/>
          </w:tcPr>
          <w:p w:rsidR="001C6274" w:rsidRPr="00906773" w:rsidRDefault="00FF1249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0,3</w:t>
            </w:r>
          </w:p>
        </w:tc>
        <w:tc>
          <w:tcPr>
            <w:tcW w:w="2835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1C6274" w:rsidRPr="00800AD4" w:rsidTr="00644731">
        <w:trPr>
          <w:trHeight w:val="4545"/>
        </w:trPr>
        <w:tc>
          <w:tcPr>
            <w:tcW w:w="617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306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Освобождение от уплаты земельного налога гаражных, погребных, гаражно-погребных кооперативов, имеющие членов - участников Великой Отечественной войны, лиц, награжденных знаком 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Житель блокадного Ленинграда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бывших несовершеннолетних узников фашистских концлагерей - на долю земельного участка, определяемую пропорционально количеству членов кооператива, относящихся к данной категории граждан</w:t>
            </w:r>
          </w:p>
        </w:tc>
        <w:tc>
          <w:tcPr>
            <w:tcW w:w="2410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1C6274" w:rsidRPr="00906773" w:rsidRDefault="00924837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843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0,0</w:t>
            </w:r>
          </w:p>
        </w:tc>
        <w:tc>
          <w:tcPr>
            <w:tcW w:w="2835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1C6274" w:rsidRPr="00800AD4" w:rsidTr="00800AD4">
        <w:trPr>
          <w:trHeight w:val="656"/>
        </w:trPr>
        <w:tc>
          <w:tcPr>
            <w:tcW w:w="617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306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Предоставление налогового вычета, уменьшающего налоговую базу (50 000 рублей), налогоплательщикам, указанным в пункте 5 статьи 391 Налогового кодекса Российской Федерации</w:t>
            </w:r>
          </w:p>
        </w:tc>
        <w:tc>
          <w:tcPr>
            <w:tcW w:w="2410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Решение Барнаульской городской Думы от 09.10.2012 №839 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</w:t>
            </w: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 утверждении Положения о земельном налоге на территории городского округа - города Барнаула Алтайского края</w:t>
            </w:r>
            <w:r w:rsidR="00716A8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</w:t>
            </w:r>
          </w:p>
        </w:tc>
        <w:tc>
          <w:tcPr>
            <w:tcW w:w="2552" w:type="dxa"/>
            <w:shd w:val="clear" w:color="auto" w:fill="auto"/>
            <w:hideMark/>
          </w:tcPr>
          <w:p w:rsidR="001C6274" w:rsidRPr="00906773" w:rsidRDefault="00FF1249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308</w:t>
            </w:r>
          </w:p>
        </w:tc>
        <w:tc>
          <w:tcPr>
            <w:tcW w:w="1843" w:type="dxa"/>
            <w:shd w:val="clear" w:color="auto" w:fill="auto"/>
            <w:hideMark/>
          </w:tcPr>
          <w:p w:rsidR="001C6274" w:rsidRPr="00906773" w:rsidRDefault="00FF1249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25,1</w:t>
            </w:r>
          </w:p>
        </w:tc>
        <w:tc>
          <w:tcPr>
            <w:tcW w:w="2835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Повышение уровня и качества жизни граждан, проживающих на территории города Барнаула дополнительными мерами социальной поддержки</w:t>
            </w:r>
          </w:p>
        </w:tc>
        <w:tc>
          <w:tcPr>
            <w:tcW w:w="1984" w:type="dxa"/>
            <w:shd w:val="clear" w:color="auto" w:fill="auto"/>
            <w:hideMark/>
          </w:tcPr>
          <w:p w:rsidR="001C6274" w:rsidRPr="00906773" w:rsidRDefault="001C6274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067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</w:t>
            </w:r>
          </w:p>
        </w:tc>
      </w:tr>
      <w:tr w:rsidR="00FF1249" w:rsidRPr="00800AD4" w:rsidTr="001E4EC9">
        <w:trPr>
          <w:trHeight w:val="656"/>
        </w:trPr>
        <w:tc>
          <w:tcPr>
            <w:tcW w:w="6091" w:type="dxa"/>
            <w:gridSpan w:val="3"/>
            <w:shd w:val="clear" w:color="auto" w:fill="auto"/>
          </w:tcPr>
          <w:p w:rsidR="00FF1249" w:rsidRPr="00906773" w:rsidRDefault="00FF1249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Итого по земельному налогу</w:t>
            </w:r>
          </w:p>
        </w:tc>
        <w:tc>
          <w:tcPr>
            <w:tcW w:w="2552" w:type="dxa"/>
            <w:shd w:val="clear" w:color="auto" w:fill="auto"/>
          </w:tcPr>
          <w:p w:rsidR="00FF1249" w:rsidRDefault="00FF1249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18 708</w:t>
            </w:r>
          </w:p>
        </w:tc>
        <w:tc>
          <w:tcPr>
            <w:tcW w:w="1843" w:type="dxa"/>
            <w:shd w:val="clear" w:color="auto" w:fill="auto"/>
          </w:tcPr>
          <w:p w:rsidR="00FF1249" w:rsidRDefault="00FF1249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5 360,0</w:t>
            </w:r>
          </w:p>
        </w:tc>
        <w:tc>
          <w:tcPr>
            <w:tcW w:w="2835" w:type="dxa"/>
            <w:shd w:val="clear" w:color="auto" w:fill="auto"/>
          </w:tcPr>
          <w:p w:rsidR="00FF1249" w:rsidRPr="00906773" w:rsidRDefault="00FF1249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F1249" w:rsidRPr="00906773" w:rsidRDefault="00FF1249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FF1249" w:rsidRPr="00800AD4" w:rsidTr="008D2DE6">
        <w:trPr>
          <w:trHeight w:val="656"/>
        </w:trPr>
        <w:tc>
          <w:tcPr>
            <w:tcW w:w="6091" w:type="dxa"/>
            <w:gridSpan w:val="3"/>
            <w:shd w:val="clear" w:color="auto" w:fill="auto"/>
          </w:tcPr>
          <w:p w:rsidR="00FF1249" w:rsidRPr="00906773" w:rsidRDefault="00FF1249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Всего по местным налогам</w:t>
            </w:r>
          </w:p>
        </w:tc>
        <w:tc>
          <w:tcPr>
            <w:tcW w:w="2552" w:type="dxa"/>
            <w:shd w:val="clear" w:color="auto" w:fill="auto"/>
          </w:tcPr>
          <w:p w:rsidR="00FF1249" w:rsidRDefault="00FF1249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20 625</w:t>
            </w:r>
          </w:p>
        </w:tc>
        <w:tc>
          <w:tcPr>
            <w:tcW w:w="1843" w:type="dxa"/>
            <w:shd w:val="clear" w:color="auto" w:fill="auto"/>
          </w:tcPr>
          <w:p w:rsidR="00FF1249" w:rsidRDefault="00FF1249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6 650,0</w:t>
            </w:r>
          </w:p>
        </w:tc>
        <w:tc>
          <w:tcPr>
            <w:tcW w:w="2835" w:type="dxa"/>
            <w:shd w:val="clear" w:color="auto" w:fill="auto"/>
          </w:tcPr>
          <w:p w:rsidR="00FF1249" w:rsidRPr="00906773" w:rsidRDefault="00FF1249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FF1249" w:rsidRPr="00906773" w:rsidRDefault="00FF1249" w:rsidP="00644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</w:tbl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p w:rsidR="001C6274" w:rsidRPr="00906773" w:rsidRDefault="001C6274">
      <w:pPr>
        <w:rPr>
          <w:sz w:val="28"/>
          <w:szCs w:val="28"/>
        </w:rPr>
      </w:pPr>
    </w:p>
    <w:sectPr w:rsidR="001C6274" w:rsidRPr="00906773" w:rsidSect="00906773">
      <w:headerReference w:type="default" r:id="rId6"/>
      <w:pgSz w:w="16838" w:h="11906" w:orient="landscape"/>
      <w:pgMar w:top="0" w:right="82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274" w:rsidRDefault="001C6274" w:rsidP="001C6274">
      <w:pPr>
        <w:spacing w:after="0" w:line="240" w:lineRule="auto"/>
      </w:pPr>
      <w:r>
        <w:separator/>
      </w:r>
    </w:p>
  </w:endnote>
  <w:endnote w:type="continuationSeparator" w:id="0">
    <w:p w:rsidR="001C6274" w:rsidRDefault="001C6274" w:rsidP="001C6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274" w:rsidRDefault="001C6274" w:rsidP="001C6274">
      <w:pPr>
        <w:spacing w:after="0" w:line="240" w:lineRule="auto"/>
      </w:pPr>
      <w:r>
        <w:separator/>
      </w:r>
    </w:p>
  </w:footnote>
  <w:footnote w:type="continuationSeparator" w:id="0">
    <w:p w:rsidR="001C6274" w:rsidRDefault="001C6274" w:rsidP="001C6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274" w:rsidRPr="001C6274" w:rsidRDefault="001C6274">
    <w:pPr>
      <w:pStyle w:val="a3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A23"/>
    <w:rsid w:val="001C6274"/>
    <w:rsid w:val="002766B3"/>
    <w:rsid w:val="003F5591"/>
    <w:rsid w:val="00644731"/>
    <w:rsid w:val="00652269"/>
    <w:rsid w:val="00716A85"/>
    <w:rsid w:val="00800AD4"/>
    <w:rsid w:val="00906773"/>
    <w:rsid w:val="00924837"/>
    <w:rsid w:val="00D857F7"/>
    <w:rsid w:val="00E27A23"/>
    <w:rsid w:val="00FF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765E5-AD1F-4732-9D46-DCE750EAC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6274"/>
  </w:style>
  <w:style w:type="paragraph" w:styleId="a5">
    <w:name w:val="footer"/>
    <w:basedOn w:val="a"/>
    <w:link w:val="a6"/>
    <w:uiPriority w:val="99"/>
    <w:unhideWhenUsed/>
    <w:rsid w:val="001C6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6274"/>
  </w:style>
  <w:style w:type="paragraph" w:styleId="a7">
    <w:name w:val="Balloon Text"/>
    <w:basedOn w:val="a"/>
    <w:link w:val="a8"/>
    <w:uiPriority w:val="99"/>
    <w:semiHidden/>
    <w:unhideWhenUsed/>
    <w:rsid w:val="00906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6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Зонова</dc:creator>
  <cp:keywords/>
  <dc:description/>
  <cp:lastModifiedBy>Надежда А. Махонина</cp:lastModifiedBy>
  <cp:revision>5</cp:revision>
  <cp:lastPrinted>2021-08-04T09:02:00Z</cp:lastPrinted>
  <dcterms:created xsi:type="dcterms:W3CDTF">2023-09-01T05:53:00Z</dcterms:created>
  <dcterms:modified xsi:type="dcterms:W3CDTF">2023-09-01T06:15:00Z</dcterms:modified>
</cp:coreProperties>
</file>