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43" w:rsidRPr="00AE5F43" w:rsidRDefault="00AE5F43" w:rsidP="00AE5F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AE5F43"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>ОТЧЕТ</w:t>
      </w:r>
    </w:p>
    <w:p w:rsidR="00AE5F43" w:rsidRPr="00AE5F43" w:rsidRDefault="00AE5F43" w:rsidP="00AE5F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AE5F43"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>об основных итогах работы</w:t>
      </w:r>
    </w:p>
    <w:p w:rsidR="00AE5F43" w:rsidRPr="00AE5F43" w:rsidRDefault="00AE5F43" w:rsidP="00AE5F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AE5F43"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>комитета по финансам, налоговой и кредитной политике города Барнаула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  <w:r w:rsidRPr="00AE5F43"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 xml:space="preserve">за I квартал 2021 года и задачах на </w:t>
      </w:r>
      <w:proofErr w:type="spellStart"/>
      <w:r w:rsidRPr="00AE5F43"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>II</w:t>
      </w:r>
      <w:proofErr w:type="spellEnd"/>
      <w:r w:rsidRPr="00AE5F43"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 xml:space="preserve"> квартал 2021 года</w:t>
      </w:r>
    </w:p>
    <w:p w:rsidR="00AE5F43" w:rsidRPr="00AE5F43" w:rsidRDefault="00AE5F43" w:rsidP="00AE5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  За 1 квартал 2021 года в бюджет города поступило доходов в объеме 4 083,1 млн. рублей, что составляет 26,3% к плану года. Динамика к аналогичному периоду 2020 года сложилась 174,5</w:t>
      </w:r>
      <w:proofErr w:type="gramStart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%.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Налоговые</w:t>
      </w:r>
      <w:proofErr w:type="gramEnd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 xml:space="preserve"> и неналоговые доходы составили 1 770,9 млн. рублей и исполнены на 24,4% годового плана с динамикой к аналогичному периоду 2020 года 125,5%. Положительная динамика обеспечена в основном за счет увеличения налоговой базы по налогу на доходы физических лиц, упрощенной системы налогообложения и патенту, доходов от продажи земельных участков (права аренды), взысканию задолженности прошлых лет по размещению рекламных конструкций.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Бюджетная обеспеченность за счет налоговых и неналоговых доходов увеличилась по сравнению с 1 кварталом 2020 года на 26,0% и составила 2 485 рублей на одного жителя.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В целях увеличения доходного потенциала бюджета города: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 xml:space="preserve">проведена рабочая встреча с представителями </w:t>
      </w:r>
      <w:proofErr w:type="spellStart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Алтайкрайимущества</w:t>
      </w:r>
      <w:proofErr w:type="spellEnd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, комитетов по земельным ресурсам и землеустройству и по управлению муниципальной собственностью города по увеличению потенциала доходов 2021 года от использования земель и муниципального имущества;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выявлено 119 земельных участков жилой застройки и промышленного назначения, имеющих признаки нецелевого использования. Сведения переданы                    в комитет по земельным ресурсам и землеустройству города для принятия дальнейших мер;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в администрации районов города направлен перечень из 1 075 объектов коммерческой недвижимости индивидуальных предпринимателей, для подготовки предложений по расширению перечня торговых и офисных зданий, облагаемых по повышенной ставке налога на имущество физических лиц (2,0%);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 xml:space="preserve">направлен запрос в Управление </w:t>
      </w:r>
      <w:proofErr w:type="spellStart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ФНС</w:t>
      </w:r>
      <w:proofErr w:type="spellEnd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 xml:space="preserve"> России по Алтайскому краю на получение списка выморочного имущества для дальнейшего проведения мероприятий по оформлению их в муниципальную собственность;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по итогам совещания с недобросовестными плательщиками погашена задолженность в сумме 1,3 млн. рублей;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проведена сверка с налоговыми органами данных по уплате обязательных платежей муниципальными учреждениями города на 01.01.2021;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на официальном сайте города актуализирована информация в рамках повышения налоговой культуры населения и платежной дисциплины налогоплательщиков.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 xml:space="preserve">На 01.04.2020 Барнаул принимает участие на условиях </w:t>
      </w:r>
      <w:proofErr w:type="spellStart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софинансирования</w:t>
      </w:r>
      <w:proofErr w:type="spellEnd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 xml:space="preserve"> в реализации нацпроектов «Демография» и «Жильё и городская среда», региональных проектах «Дорожная сеть» и «Современная школа», индивидуальной программе социально-экономического развития Алтайского края.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В целом объем межбюджетных трансфертов за отчетный период составил 2 344,1 млн. рублей, что выше уровня 1 квартала 2020 года в 2,5 раза.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 xml:space="preserve">По результатам конкурса в 2021 году Министерством финансов Алтайского края признаны победителями 8 инициативных проектов развития (создания) общественной инфраструктуры пригорода Барнаула. По всем проектам поступили средства </w:t>
      </w:r>
      <w:proofErr w:type="spellStart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софинансирования</w:t>
      </w:r>
      <w:proofErr w:type="spellEnd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 xml:space="preserve"> жителей и юридических лиц в полном объеме (1,5 млн. рублей).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За 1 квартал 2021 года расходы произведены в объеме 3 550,7 млн. рублей или 20,7% к годовому плану и динамикой к аналогичному периоду 2020 года 147,9%.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Объем программных расходов составил 3 323,7 млн. рублей или 93,6% общей суммы расходов.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 xml:space="preserve">Адресная инвестиционная программа города профинансирована в объеме 247,0 млн. 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lastRenderedPageBreak/>
        <w:t>рублей, что выше уровня I квартала 2020 года на 86,0%.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Выполнен норматив формирования расходов на содержание органов местного самоуправления.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В целях реализации поручения Президента РФ от 08.03.2021 №Пр-366 проведена работа по подготовке информации о заработной плате работников муниципальных учреждений за 2020 год в территориальные органы Пенсионного фонда РФ.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Долговые обязательства бюджета города отсутствуют, кредиты не привлекались.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 xml:space="preserve">В рамках внутреннего муниципального финансового контроля проведено 14 контрольных мероприятий, в том числе 3 внеплановых (по поступившей информации из </w:t>
      </w:r>
      <w:proofErr w:type="spellStart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УФАС</w:t>
      </w:r>
      <w:proofErr w:type="spellEnd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 xml:space="preserve"> по Алтайскому краю). Выявлено нарушений на сумму 4,4 млн. рублей, устранено – 0,7 млн. рублей.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Несмотря на превентивные меры, допускаются нарушения в сфере закупок, по 4-м заказчикам информация направлена в прокуратуру города.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Во исполнение постановления администрации города от 02.02.2021 №98 комитетом проведена экспертиза о влиянии совершения крупной сделки на финансовое состояние АО «Эко-комплекс» и АО «</w:t>
      </w:r>
      <w:proofErr w:type="spellStart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КШП</w:t>
      </w:r>
      <w:proofErr w:type="spellEnd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-Глобус».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 xml:space="preserve">В целях повышения открытости и прозрачности управления муниципальными финансами подготовлена информация на сайт </w:t>
      </w:r>
      <w:proofErr w:type="spellStart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АСДГ</w:t>
      </w:r>
      <w:proofErr w:type="spellEnd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, ежемесячно публикуется исполнение бюджета в газете «Вечерний Барнаул» и на официальном сайте города.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 xml:space="preserve">В рамках повышения уровня финансовой грамотности старшеклассников в </w:t>
      </w:r>
      <w:proofErr w:type="spellStart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МАОУ</w:t>
      </w:r>
      <w:proofErr w:type="spellEnd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 xml:space="preserve"> «Средняя общеобразовательная школа №132» имени </w:t>
      </w:r>
      <w:proofErr w:type="spellStart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Н.М.Малахова</w:t>
      </w:r>
      <w:proofErr w:type="spellEnd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 xml:space="preserve"> проведено открытое занятие.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Подготовлены материалы для участия города Барнаула в региональном этапе Всероссийского конкурса «Лучшая муниципальная практика» в номинации «Муниципальная экономическая политика и управление муниципальными финансами».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 xml:space="preserve">Основными задачами на </w:t>
      </w:r>
      <w:proofErr w:type="spellStart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II</w:t>
      </w:r>
      <w:proofErr w:type="spellEnd"/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t xml:space="preserve"> квартал 2021 года являются: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подготовка отчета «Об исполнении бюджета города за 2020 год, расходовании резервного фонда» на публичные слушания и заседание Барнаульской городской Думы;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подготовка отчета «Об исполнении бюджета города за I квартал 2021 года» и материалов Счетной палате города;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осуществление контроля и исполнения плана мероприятий по реализации Программы повышения эффективности бюджетных расходов;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организация работы по формированию бюджета города на 2022 год и среднесрочную перспективу;</w:t>
      </w:r>
      <w:r w:rsidRPr="00AE5F43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повышение эффективности, результативности системы внутреннего муниципального финансового контроля, с учетом мер предварительного контроля, проведения экспертного анализа о влиянии крупных сделок на финансовое состояние акционерных обществ.</w:t>
      </w:r>
    </w:p>
    <w:p w:rsidR="00584836" w:rsidRDefault="00584836">
      <w:bookmarkStart w:id="0" w:name="_GoBack"/>
      <w:bookmarkEnd w:id="0"/>
    </w:p>
    <w:sectPr w:rsidR="0058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43"/>
    <w:rsid w:val="00584836"/>
    <w:rsid w:val="00A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E4BF5-8026-4521-B517-6B18D724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1</cp:revision>
  <dcterms:created xsi:type="dcterms:W3CDTF">2021-07-19T08:47:00Z</dcterms:created>
  <dcterms:modified xsi:type="dcterms:W3CDTF">2021-07-19T08:47:00Z</dcterms:modified>
</cp:coreProperties>
</file>