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985" w:right="-8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-11"/>
          <w:sz w:val="24"/>
          <w:szCs w:val="24"/>
          <w:lang w:eastAsia="ru-RU"/>
        </w:rPr>
      </w:pPr>
      <w:r>
        <w:rPr>
          <w:b/>
          <w:spacing w:val="-1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00" cy="723600"/>
                <wp:effectExtent l="0" t="0" r="0" b="635"/>
                <wp:docPr id="1" name="Рисунок 9" descr="G:\ivc\Сапожников\Герб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ivc\Сапожников\Герб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77pt;height:56.98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ru-RU"/>
        </w:rPr>
      </w:r>
    </w:p>
    <w:p>
      <w:pPr>
        <w:ind w:left="-1985" w:right="-8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1985" w:right="-8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1985" w:right="-8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ЛЕНИНСКОГО РАЙОНА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ГОРОДА БАРНАУЛА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1985" w:right="-851"/>
        <w:jc w:val="center"/>
        <w:keepNext/>
        <w:spacing w:before="182" w:after="0" w:line="240" w:lineRule="auto"/>
        <w:shd w:val="clear" w:color="auto" w:fill="ffffff"/>
        <w:widowControl w:val="off"/>
        <w:rPr>
          <w:rFonts w:ascii="Verdana" w:hAnsi="Verdana" w:eastAsia="Times New Roman" w:cs="Arial"/>
          <w:b/>
          <w:bCs/>
          <w:sz w:val="30"/>
          <w:szCs w:val="30"/>
          <w:lang w:eastAsia="ru-RU"/>
        </w:rPr>
        <w:outlineLvl w:val="0"/>
      </w:pPr>
      <w:r>
        <w:rPr>
          <w:rFonts w:ascii="Verdana" w:hAnsi="Verdana" w:eastAsia="Times New Roman" w:cs="Arial"/>
          <w:b/>
          <w:bCs/>
          <w:sz w:val="30"/>
          <w:szCs w:val="30"/>
          <w:lang w:eastAsia="ru-RU"/>
        </w:rPr>
        <w:t xml:space="preserve">ПОСТАНОВЛЕНИЕ</w:t>
      </w:r>
      <w:r>
        <w:rPr>
          <w:rFonts w:ascii="Verdana" w:hAnsi="Verdana" w:eastAsia="Times New Roman" w:cs="Arial"/>
          <w:b/>
          <w:bCs/>
          <w:sz w:val="30"/>
          <w:szCs w:val="30"/>
          <w:lang w:eastAsia="ru-RU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от 04.03.2025 №128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right="5104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Об утверждении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оклада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 правоприменительной практике осуществления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муниципального контроля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в сфере благоустрой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ства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предмето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м которого является соблюдение П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равил благоустройства территории городского округа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– города Барнаула Алтайского края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и предоставляемых услуг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, на территории Ленинского района города Барнаула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за 2024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 xml:space="preserve">со статьей 47 Федерального закона </w:t>
      </w:r>
      <w:r>
        <w:rPr>
          <w:rFonts w:ascii="PT Astra Serif" w:hAnsi="PT Astra Serif"/>
          <w:sz w:val="28"/>
          <w:szCs w:val="28"/>
        </w:rPr>
        <w:br/>
        <w:t xml:space="preserve">от 31.07.2020 №248-ФЗ «О государственном контроле (надзоре) </w:t>
      </w:r>
      <w:r>
        <w:rPr>
          <w:rFonts w:ascii="PT Astra Serif" w:hAnsi="PT Astra Serif"/>
          <w:sz w:val="28"/>
          <w:szCs w:val="28"/>
        </w:rPr>
        <w:br/>
        <w:t xml:space="preserve">и муниципальном контроле в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Российской Федерации»,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пунктом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2.7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городского округа - города Барнаула Алтайского края, утвержденного решением Барнаульск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30.11.2021</w:t>
      </w:r>
      <w:r>
        <w:rPr>
          <w:rFonts w:ascii="Times New Roman" w:hAnsi="Times New Roman" w:cs="Times New Roman"/>
          <w:sz w:val="28"/>
          <w:szCs w:val="28"/>
        </w:rPr>
        <w:br/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798,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администрация Ленинского района города Барнаула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т: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right="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Утвердить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оклад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 правоприменительной практике осуществления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муниципального контроля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в сфере благоустройства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предмето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м которого является соблюдение П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равил благоустройства территории городского округа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– города Барнаула Алтайского края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и предоставляемых услуг, на территории Лен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инског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 района города Барнаула за 2024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(приложение).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pStyle w:val="689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Главному специалисту – пресс-секретарю Гладышевой С.Б. обеспечить размещение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постановления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на официальном Интернет-сайте города Барнаула.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 Контроль за исполнением постановления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возложить на первого заместителя главы администрации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Ленинского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района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города Барнаула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по жилищно-коммунальному хозяйству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Глава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Е.А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Авраменко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39" w:firstLine="5812"/>
        <w:spacing w:after="0" w:line="240" w:lineRule="auto"/>
        <w:tabs>
          <w:tab w:val="left" w:pos="-14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39" w:firstLine="5812"/>
        <w:spacing w:after="0" w:line="240" w:lineRule="auto"/>
        <w:tabs>
          <w:tab w:val="left" w:pos="-14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39" w:firstLine="5812"/>
        <w:spacing w:after="0" w:line="240" w:lineRule="auto"/>
        <w:tabs>
          <w:tab w:val="left" w:pos="-14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39" w:firstLine="5812"/>
        <w:spacing w:after="0" w:line="240" w:lineRule="auto"/>
        <w:tabs>
          <w:tab w:val="left" w:pos="-14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39" w:firstLine="5812"/>
        <w:spacing w:after="0" w:line="240" w:lineRule="auto"/>
        <w:tabs>
          <w:tab w:val="left" w:pos="-14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04.03.2025 №128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</w:t>
      </w:r>
      <w:r>
        <w:rPr>
          <w:rFonts w:ascii="Times New Roman" w:hAnsi="Times New Roman" w:cs="Times New Roman"/>
          <w:sz w:val="28"/>
          <w:szCs w:val="28"/>
        </w:rPr>
        <w:t xml:space="preserve">ке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в сфере благ</w:t>
      </w:r>
      <w:r>
        <w:rPr>
          <w:rFonts w:ascii="Times New Roman" w:hAnsi="Times New Roman" w:cs="Times New Roman"/>
          <w:sz w:val="28"/>
          <w:szCs w:val="28"/>
        </w:rPr>
        <w:t xml:space="preserve">оустрой</w:t>
      </w:r>
      <w:r>
        <w:rPr>
          <w:rFonts w:ascii="Times New Roman" w:hAnsi="Times New Roman" w:cs="Times New Roman"/>
          <w:sz w:val="28"/>
          <w:szCs w:val="28"/>
        </w:rPr>
        <w:t xml:space="preserve">ства, предметом которого является соблюдение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терр</w:t>
      </w:r>
      <w:r>
        <w:rPr>
          <w:rFonts w:ascii="Times New Roman" w:hAnsi="Times New Roman" w:cs="Times New Roman"/>
          <w:sz w:val="28"/>
          <w:szCs w:val="28"/>
        </w:rPr>
        <w:t xml:space="preserve">итории городского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–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Алтайского края, в том числе требований к обеспечени</w:t>
      </w:r>
      <w:r>
        <w:rPr>
          <w:rFonts w:ascii="Times New Roman" w:hAnsi="Times New Roman" w:cs="Times New Roman"/>
          <w:sz w:val="28"/>
          <w:szCs w:val="28"/>
        </w:rPr>
        <w:t xml:space="preserve">ю доступности для инвалидов объ</w:t>
      </w:r>
      <w:r>
        <w:rPr>
          <w:rFonts w:ascii="Times New Roman" w:hAnsi="Times New Roman" w:cs="Times New Roman"/>
          <w:sz w:val="28"/>
          <w:szCs w:val="28"/>
        </w:rPr>
        <w:t xml:space="preserve">ектов социальной, инженерной и транспортной инфраструктур и предоставляемых услуг, на территории Ленинского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города Барнаула за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 (далее – администрация района)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31.07.2020 №248-ФЗ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от </w:t>
      </w:r>
      <w:r>
        <w:rPr>
          <w:rFonts w:ascii="Times New Roman" w:hAnsi="Times New Roman" w:cs="Times New Roman"/>
          <w:sz w:val="28"/>
          <w:szCs w:val="28"/>
        </w:rPr>
        <w:t xml:space="preserve">31.07.2020 №248-ФЗ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от 07.12.2020 №2041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городского округа - города Барнаула Алтайского края, утвержденного решением Барнаульской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30.11.2021 №</w:t>
      </w:r>
      <w:r>
        <w:rPr>
          <w:rFonts w:ascii="Times New Roman" w:hAnsi="Times New Roman" w:cs="Times New Roman"/>
          <w:sz w:val="28"/>
          <w:szCs w:val="28"/>
        </w:rPr>
        <w:t xml:space="preserve">798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Общие сведения о контрольных мероприятиях, специальных режимах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п</w:t>
      </w:r>
      <w:r>
        <w:rPr>
          <w:rFonts w:ascii="Times New Roman" w:hAnsi="Times New Roman" w:cs="Times New Roman"/>
          <w:sz w:val="28"/>
          <w:szCs w:val="28"/>
        </w:rPr>
        <w:t xml:space="preserve">лановые контрольные (надзорные) мероприя</w:t>
      </w:r>
      <w:r>
        <w:rPr>
          <w:rFonts w:ascii="Times New Roman" w:hAnsi="Times New Roman" w:cs="Times New Roman"/>
          <w:sz w:val="28"/>
          <w:szCs w:val="28"/>
        </w:rPr>
        <w:t xml:space="preserve">тия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далее – КНМ)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 году не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связи с тем, что прокуратурой Ленинского района города Барнаула включенные в проект плана мероприятия были исключены с формулировкой о невозможности проведения контрольных мероприятий из-за отсутствия </w:t>
      </w:r>
      <w:r>
        <w:rPr>
          <w:rFonts w:ascii="Times New Roman" w:hAnsi="Times New Roman" w:cs="Times New Roman"/>
          <w:sz w:val="28"/>
          <w:szCs w:val="28"/>
        </w:rPr>
        <w:t xml:space="preserve">КНМ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данных юридических лиц в 2023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проверки в 2024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проводились в связи с отсутствием оснований, предусмотренных частью 2 статьи 10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муниципального контроля»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пунктами 1, 3 - 6 части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1, частью 3 статьи 57, частью 12 статьи 66 Федеральног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закона от 31.07.2020 №248-ФЗ.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КНМ с использованием средств дистанционного взаимодействия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проводились.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В 2024 году получен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15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отказ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ов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в согласовании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КНМ </w:t>
      </w:r>
      <w:r>
        <w:rPr>
          <w:rFonts w:ascii="Times New Roman" w:hAnsi="Times New Roman" w:cs="Times New Roman"/>
          <w:sz w:val="28"/>
          <w:szCs w:val="28"/>
        </w:rPr>
        <w:t xml:space="preserve">органов прокуратуры.</w:t>
      </w:r>
      <w:r>
        <w:rPr>
          <w:rFonts w:ascii="Times New Roman" w:hAnsi="Times New Roman" w:cs="Times New Roman"/>
          <w:sz w:val="28"/>
          <w:szCs w:val="28"/>
        </w:rPr>
        <w:t xml:space="preserve"> Основными причинами отказов послужили: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указание неверного основания для включения </w:t>
      </w:r>
      <w:r>
        <w:rPr>
          <w:rFonts w:ascii="Times New Roman" w:hAnsi="Times New Roman" w:cs="Times New Roman"/>
          <w:sz w:val="28"/>
          <w:szCs w:val="28"/>
        </w:rPr>
        <w:t xml:space="preserve">КНМ </w:t>
      </w:r>
      <w:r>
        <w:rPr>
          <w:rFonts w:ascii="Times New Roman" w:hAnsi="Times New Roman" w:cs="Times New Roman"/>
          <w:sz w:val="28"/>
          <w:szCs w:val="28"/>
        </w:rPr>
        <w:t xml:space="preserve">в план (плановые КНМ в отношении ЮЛ о</w:t>
      </w:r>
      <w:r>
        <w:rPr>
          <w:rFonts w:ascii="Times New Roman" w:hAnsi="Times New Roman" w:cs="Times New Roman"/>
          <w:sz w:val="28"/>
          <w:szCs w:val="28"/>
        </w:rPr>
        <w:t xml:space="preserve">рганом контроля не проводились);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нарушение требований п.5.5 ст.98 Федерального закона от 31.07.2020 № 248-ФЗ, п.6 Правил, утвержденных постановлением Правительства Российской Федерации от 31.12.2020 № 2428, </w:t>
      </w:r>
      <w:r>
        <w:rPr>
          <w:rFonts w:ascii="Times New Roman" w:hAnsi="Times New Roman" w:cs="Times New Roman"/>
          <w:sz w:val="28"/>
          <w:szCs w:val="28"/>
        </w:rPr>
        <w:t xml:space="preserve">отсутствие</w:t>
      </w:r>
      <w:r>
        <w:rPr>
          <w:rFonts w:ascii="Times New Roman" w:hAnsi="Times New Roman" w:cs="Times New Roman"/>
          <w:sz w:val="28"/>
          <w:szCs w:val="28"/>
        </w:rPr>
        <w:t xml:space="preserve"> в едином реестре видов контроля </w:t>
      </w:r>
      <w:r>
        <w:rPr>
          <w:rFonts w:ascii="Times New Roman" w:hAnsi="Times New Roman" w:cs="Times New Roman"/>
          <w:sz w:val="28"/>
          <w:szCs w:val="28"/>
        </w:rPr>
        <w:t xml:space="preserve">сведений об объекте контроля;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в</w:t>
      </w:r>
      <w:r>
        <w:rPr>
          <w:rFonts w:ascii="Times New Roman" w:hAnsi="Times New Roman" w:cs="Times New Roman"/>
          <w:sz w:val="28"/>
          <w:szCs w:val="28"/>
        </w:rPr>
        <w:t xml:space="preserve"> раздел «Обязательные требования»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(статья 7 Прав</w:t>
      </w:r>
      <w:r>
        <w:rPr>
          <w:rFonts w:ascii="Times New Roman" w:hAnsi="Times New Roman" w:cs="Times New Roman"/>
          <w:sz w:val="28"/>
          <w:szCs w:val="28"/>
        </w:rPr>
        <w:t xml:space="preserve">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р</w:t>
      </w:r>
      <w:r>
        <w:rPr>
          <w:rFonts w:ascii="Times New Roman" w:hAnsi="Times New Roman" w:cs="Times New Roman"/>
          <w:sz w:val="28"/>
          <w:szCs w:val="28"/>
        </w:rPr>
        <w:t xml:space="preserve">ешение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Барнаульской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19.03.2021 №</w:t>
      </w:r>
      <w:r>
        <w:rPr>
          <w:rFonts w:ascii="Times New Roman" w:hAnsi="Times New Roman" w:cs="Times New Roman"/>
          <w:sz w:val="28"/>
          <w:szCs w:val="28"/>
        </w:rPr>
        <w:t xml:space="preserve">645</w:t>
      </w:r>
      <w:r>
        <w:rPr>
          <w:rFonts w:ascii="Times New Roman" w:hAnsi="Times New Roman" w:cs="Times New Roman"/>
          <w:sz w:val="28"/>
          <w:szCs w:val="28"/>
        </w:rPr>
        <w:t xml:space="preserve">), не входящих в перечень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содержащих обязательные требования, оценка соблюдения которых осуществляется в рамках данного вида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указания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проверочного листа, что не позволяет оценить его 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</w:t>
      </w:r>
      <w:r>
        <w:rPr>
          <w:rFonts w:ascii="Times New Roman" w:hAnsi="Times New Roman" w:cs="Times New Roman"/>
          <w:sz w:val="28"/>
          <w:szCs w:val="28"/>
        </w:rPr>
        <w:t xml:space="preserve"> объекта контроля </w:t>
      </w:r>
      <w:r>
        <w:rPr>
          <w:rFonts w:ascii="Times New Roman" w:hAnsi="Times New Roman" w:cs="Times New Roman"/>
          <w:sz w:val="28"/>
          <w:szCs w:val="28"/>
        </w:rPr>
        <w:t xml:space="preserve">полю «место проведения КНМ».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взаимоде</w:t>
      </w:r>
      <w:r>
        <w:rPr>
          <w:rFonts w:ascii="Times New Roman" w:hAnsi="Times New Roman"/>
          <w:sz w:val="28"/>
          <w:szCs w:val="28"/>
        </w:rPr>
        <w:t xml:space="preserve">йствием с контролируемым лицом в 2024 году не проводились.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Органами администрации района, ответственными за проведение муниципального контроля, был проведен анализ объектов контроля в соответствии с критериями отнесения объектов контроля к категориям риска.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проведенного анализа объектов контроля с категориями высокого и чрезвычайно высокого риска не выявлено. Таким образом, формирование проекта плана </w:t>
      </w:r>
      <w:r>
        <w:rPr>
          <w:rFonts w:ascii="Times New Roman" w:hAnsi="Times New Roman"/>
          <w:sz w:val="28"/>
          <w:szCs w:val="28"/>
        </w:rPr>
        <w:t xml:space="preserve">КНМ </w:t>
      </w:r>
      <w:r>
        <w:rPr>
          <w:rFonts w:ascii="Times New Roman" w:hAnsi="Times New Roman"/>
          <w:sz w:val="28"/>
          <w:szCs w:val="28"/>
        </w:rPr>
        <w:t xml:space="preserve">на 2025 год не представляется возможным.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Общие сведения о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мероприятиях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Муниципальный контроль в сфере бл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агоустройства в 2024 году осуществлялся посредством организации и проведении профилактических мероприятий (информирование, обобщение правоприменительной практики, объявление предостережения, консультирование, профилактический визит). Программа профилактики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рисков причинения вреда (ущерба) охраняемым законом ценностям на 2024 год (далее -Программа) утверждена постановлением администрации района от 27.12.2023 №1175.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Программа профилактики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рисков причинения вреда (ущерба) охраняемым законом ценностям на 2025 год утверждена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района от 11.12.2024 №880.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Инспекторами муниципального контроля в рамках Программы в 2024 году проведена 421 консульта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ция (в 2023 году - 369), в том числе в ходе профилактических визитов, по разъяснению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1_78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72"/>
        <w:gridCol w:w="1418"/>
        <w:gridCol w:w="1843"/>
        <w:gridCol w:w="1559"/>
        <w:gridCol w:w="1417"/>
        <w:gridCol w:w="1300"/>
      </w:tblGrid>
      <w:tr>
        <w:tblPrEx/>
        <w:trPr>
          <w:jc w:val="center"/>
          <w:trHeight w:val="1383"/>
        </w:trPr>
        <w:tc>
          <w:tcPr>
            <w:tcW w:w="1672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Администрация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Инфор-ми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в 2024/2023 гг.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Обобщение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правоприме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нительной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практики в 2024/2023 гг.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Объявле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предосте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режения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в 2024/2023 гг.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Консуль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тирова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в 2024/2023 гг.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Профи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лактичес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кий визит в 2024/2023 гг.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</w:tr>
      <w:tr>
        <w:tblPrEx/>
        <w:trPr>
          <w:jc w:val="center"/>
          <w:trHeight w:val="484"/>
        </w:trPr>
        <w:tc>
          <w:tcPr>
            <w:tcW w:w="1672" w:type="dxa"/>
            <w:textDirection w:val="lrTb"/>
            <w:noWrap w:val="false"/>
          </w:tcPr>
          <w:p>
            <w:pPr>
              <w:ind w:right="-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ar-SA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/35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ar-S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2/2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421/369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26/72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Общие сведения о результатах проведенных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КНМ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взаимодействием с контролируемым лицом в 2024 году не проводились.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Выявить количество лиц и нарушений обязательных требований контролируемыми лицами не представилось возможным.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Привлечение к административной ответственности контролируемых лиц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итогам контрольных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2024 году не осуществлялось, административные штрафы не накладывались.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Общие сведения о результатах досудебного обжалования решений контрольных органов, действий (</w:t>
      </w:r>
      <w:r>
        <w:rPr>
          <w:rFonts w:ascii="Times New Roman" w:hAnsi="Times New Roman" w:cs="Times New Roman"/>
          <w:sz w:val="28"/>
          <w:szCs w:val="28"/>
        </w:rPr>
        <w:t xml:space="preserve">бездействия) их должностных лиц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при осуществлении муниципального контроля не применяется.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решения, принимаемые администрацией района в рамках реализации полномочий по осуществлению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Общие сведения о результатах судебного о</w:t>
      </w:r>
      <w:r>
        <w:rPr>
          <w:rFonts w:ascii="Times New Roman" w:hAnsi="Times New Roman" w:cs="Times New Roman"/>
          <w:sz w:val="28"/>
          <w:szCs w:val="28"/>
        </w:rPr>
        <w:t xml:space="preserve">бжалования решений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органов, действий (</w:t>
      </w:r>
      <w:r>
        <w:rPr>
          <w:rFonts w:ascii="Times New Roman" w:hAnsi="Times New Roman" w:cs="Times New Roman"/>
          <w:sz w:val="28"/>
          <w:szCs w:val="28"/>
        </w:rPr>
        <w:t xml:space="preserve">бездействия) их должностных лиц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Обжалование</w:t>
      </w:r>
      <w:r>
        <w:rPr>
          <w:rFonts w:ascii="Times New Roman" w:hAnsi="Times New Roman" w:cs="Times New Roman"/>
          <w:sz w:val="28"/>
          <w:szCs w:val="28"/>
        </w:rPr>
        <w:t xml:space="preserve"> решений контрольных органов, действий (бездействия) их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в судебном порядке не производилось.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о достижении клю</w:t>
      </w:r>
      <w:r>
        <w:rPr>
          <w:rFonts w:ascii="Times New Roman" w:hAnsi="Times New Roman" w:cs="Times New Roman"/>
          <w:sz w:val="28"/>
          <w:szCs w:val="28"/>
        </w:rPr>
        <w:t xml:space="preserve">чевых показателей вида контроля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 xml:space="preserve">контрольные мероприятия</w:t>
      </w:r>
      <w:r>
        <w:rPr>
          <w:rFonts w:ascii="Times New Roman" w:hAnsi="Times New Roman"/>
          <w:sz w:val="28"/>
          <w:szCs w:val="28"/>
        </w:rPr>
        <w:t xml:space="preserve"> администрацией района </w:t>
      </w:r>
      <w:r>
        <w:rPr>
          <w:rFonts w:ascii="Times New Roman" w:hAnsi="Times New Roman"/>
          <w:sz w:val="28"/>
          <w:szCs w:val="28"/>
        </w:rPr>
        <w:t xml:space="preserve">в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/>
          <w:sz w:val="28"/>
          <w:szCs w:val="28"/>
        </w:rPr>
        <w:t xml:space="preserve">, дать оценку достижения/</w:t>
      </w:r>
      <w:r>
        <w:rPr>
          <w:rFonts w:ascii="Times New Roman" w:hAnsi="Times New Roman"/>
          <w:sz w:val="28"/>
          <w:szCs w:val="28"/>
        </w:rPr>
        <w:t xml:space="preserve">недостижения</w:t>
      </w:r>
      <w:r>
        <w:rPr>
          <w:rFonts w:ascii="Times New Roman" w:hAnsi="Times New Roman"/>
          <w:sz w:val="28"/>
          <w:szCs w:val="28"/>
        </w:rPr>
        <w:t xml:space="preserve"> ключевых показателей не представляется возможным.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 предста</w:t>
      </w:r>
      <w:r>
        <w:rPr>
          <w:rFonts w:ascii="Times New Roman" w:hAnsi="Times New Roman"/>
          <w:sz w:val="28"/>
          <w:szCs w:val="28"/>
        </w:rPr>
        <w:t xml:space="preserve">вляется возможным рассчитать показатель результативности и эффективности программы профилактики в связи с тем, что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3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Style w:val="48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5053"/>
        <w:gridCol w:w="1599"/>
        <w:gridCol w:w="1813"/>
      </w:tblGrid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ключевого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значение,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значение,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 из числа выявленных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выполнения плана проведения плановых контрольных мероприятий на очередной календарный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обоснованных жалоб на действия (бездействие) администрации района и (или) ее должностного лица при проведении контрольных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отмененных результатов контрольных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принятых административной комиссией при администрации города Барнаула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города Барнаула постановлений о назначении административного наказания по материалам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отмененных в судебном порядке постановлений административной комиссии при администрации города Барнаула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города Барнаула по делам об административных правонарушениях от общего количества таких постановлений, принятых административными комиссиями города Барнаула, за исключением постановлений, отмененных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статей 2.7 и 2.9 Кодекса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Сведен</w:t>
      </w:r>
      <w:r>
        <w:rPr>
          <w:rFonts w:ascii="Times New Roman" w:hAnsi="Times New Roman" w:cs="Times New Roman"/>
          <w:sz w:val="28"/>
          <w:szCs w:val="28"/>
        </w:rPr>
        <w:t xml:space="preserve">ия о </w:t>
      </w:r>
      <w:r>
        <w:rPr>
          <w:rFonts w:ascii="Times New Roman" w:hAnsi="Times New Roman" w:cs="Times New Roman"/>
          <w:sz w:val="28"/>
          <w:szCs w:val="28"/>
        </w:rPr>
        <w:t xml:space="preserve">цифровизации</w:t>
      </w:r>
      <w:r>
        <w:rPr>
          <w:rFonts w:ascii="Times New Roman" w:hAnsi="Times New Roman" w:cs="Times New Roman"/>
          <w:sz w:val="28"/>
          <w:szCs w:val="28"/>
        </w:rPr>
        <w:t xml:space="preserve"> вида контроля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784"/>
        <w:ind w:firstLine="709"/>
        <w:jc w:val="both"/>
        <w:spacing w:before="0" w:beforeAutospacing="0" w:after="0" w:afterAutospacing="0"/>
        <w:shd w:val="clear" w:color="auto" w:fill="ffffff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переход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полностью </w:t>
      </w:r>
      <w:r>
        <w:rPr>
          <w:sz w:val="28"/>
          <w:szCs w:val="28"/>
        </w:rPr>
        <w:t xml:space="preserve">электронное </w:t>
      </w:r>
      <w:r>
        <w:rPr>
          <w:sz w:val="28"/>
          <w:szCs w:val="28"/>
        </w:rPr>
        <w:t xml:space="preserve">взаимодействие контролеров с проверяемыми субъектами</w:t>
      </w:r>
      <w:r>
        <w:rPr>
          <w:sz w:val="28"/>
          <w:szCs w:val="28"/>
        </w:rPr>
        <w:t xml:space="preserve"> создан </w:t>
      </w:r>
      <w:r>
        <w:rPr>
          <w:sz w:val="28"/>
          <w:szCs w:val="28"/>
        </w:rPr>
        <w:t xml:space="preserve">Единый реестр контрольных (надзорных) мероприятий (</w:t>
      </w:r>
      <w:r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 xml:space="preserve">ЕРКНМ), размещению в котором подлежат сведения о проводимых уполномоченными орган</w:t>
      </w:r>
      <w:r>
        <w:rPr>
          <w:sz w:val="28"/>
          <w:szCs w:val="28"/>
        </w:rPr>
        <w:t xml:space="preserve">ами профилактических (в части объявления предостережений и проведения профилактических визитов) и контрольных (надзорных) мероприятиях (за исключением наблюдения за соблюдением обязательных требований и проведения выездного обследования, которые не предпол</w:t>
      </w:r>
      <w:r>
        <w:rPr>
          <w:sz w:val="28"/>
          <w:szCs w:val="28"/>
        </w:rPr>
        <w:t xml:space="preserve">агают взаимодействие). А также </w:t>
      </w:r>
      <w:r>
        <w:rPr>
          <w:sz w:val="28"/>
          <w:szCs w:val="28"/>
        </w:rPr>
        <w:t xml:space="preserve">Единый реестр видов контроля</w:t>
      </w:r>
      <w:r>
        <w:rPr>
          <w:sz w:val="28"/>
          <w:szCs w:val="28"/>
        </w:rPr>
        <w:t xml:space="preserve"> (далее – ЕРВК)</w:t>
      </w:r>
      <w:r>
        <w:rPr>
          <w:sz w:val="28"/>
          <w:szCs w:val="28"/>
        </w:rPr>
        <w:t xml:space="preserve">, в котором описывается каждый вид контроля. Это описание является справочником для других систем, в частности, и для ЕРКНМ.</w:t>
      </w:r>
      <w:r>
        <w:rPr>
          <w:rFonts w:ascii="Roboto" w:hAnsi="Roboto"/>
          <w:sz w:val="28"/>
          <w:szCs w:val="28"/>
        </w:rPr>
      </w:r>
      <w:r>
        <w:rPr>
          <w:rFonts w:ascii="Roboto" w:hAnsi="Roboto"/>
          <w:sz w:val="28"/>
          <w:szCs w:val="28"/>
        </w:rPr>
      </w:r>
    </w:p>
    <w:p>
      <w:pPr>
        <w:pStyle w:val="1_784"/>
        <w:ind w:firstLine="709"/>
        <w:jc w:val="both"/>
        <w:spacing w:before="0" w:beforeAutospacing="0" w:after="0" w:afterAutospacing="0"/>
        <w:shd w:val="clear" w:color="auto" w:fill="ffffff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установлен запрет на проведение</w:t>
      </w:r>
      <w:r>
        <w:rPr>
          <w:sz w:val="28"/>
          <w:szCs w:val="28"/>
        </w:rPr>
        <w:t xml:space="preserve"> КНМ</w:t>
      </w:r>
      <w:r>
        <w:rPr>
          <w:sz w:val="28"/>
          <w:szCs w:val="28"/>
        </w:rPr>
        <w:t xml:space="preserve">, сведения о которых на момент начала их проведения в ЕРКНМ не внесены. </w:t>
      </w:r>
      <w:r>
        <w:rPr>
          <w:rFonts w:ascii="Roboto" w:hAnsi="Roboto"/>
          <w:sz w:val="28"/>
          <w:szCs w:val="28"/>
        </w:rPr>
      </w:r>
      <w:r>
        <w:rPr>
          <w:rFonts w:ascii="Roboto" w:hAnsi="Roboto"/>
          <w:sz w:val="28"/>
          <w:szCs w:val="28"/>
        </w:rPr>
      </w:r>
    </w:p>
    <w:p>
      <w:pPr>
        <w:pStyle w:val="1_784"/>
        <w:ind w:firstLine="709"/>
        <w:jc w:val="both"/>
        <w:spacing w:before="0" w:beforeAutospacing="0" w:after="0" w:afterAutospacing="0"/>
        <w:shd w:val="clear" w:color="auto" w:fill="ffffff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Проверить легальность</w:t>
      </w:r>
      <w:r>
        <w:rPr>
          <w:sz w:val="28"/>
          <w:szCs w:val="28"/>
        </w:rPr>
        <w:t xml:space="preserve"> КНМ</w:t>
      </w:r>
      <w:r>
        <w:rPr>
          <w:sz w:val="28"/>
          <w:szCs w:val="28"/>
        </w:rPr>
        <w:t xml:space="preserve"> либо профилактического мероприятия можно при помощи QR-кода, подлежащего нанесению на документы, оформляемые органами контроля. Он позволяет автоматически перейти в паспорт мероприятия, которому присвоен уникальный номер в ЕРКНМ.</w:t>
      </w:r>
      <w:r>
        <w:rPr>
          <w:rFonts w:ascii="Roboto" w:hAnsi="Roboto"/>
          <w:sz w:val="28"/>
          <w:szCs w:val="28"/>
        </w:rPr>
      </w:r>
      <w:r>
        <w:rPr>
          <w:rFonts w:ascii="Roboto" w:hAnsi="Roboto"/>
          <w:sz w:val="28"/>
          <w:szCs w:val="28"/>
        </w:rPr>
      </w:r>
    </w:p>
    <w:p>
      <w:pPr>
        <w:pStyle w:val="1_784"/>
        <w:ind w:firstLine="709"/>
        <w:jc w:val="both"/>
        <w:spacing w:before="0" w:beforeAutospacing="0" w:after="0" w:afterAutospacing="0"/>
        <w:shd w:val="clear" w:color="auto" w:fill="ffffff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Созданные в ходе реформы информационные системы позволяют сделать контроль более прозрачным и цифровым, улучшить взаимодействие с органами прокуратуры и контролируемыми лицами, используя при этом уже существующие инструменты (такие, как портал </w:t>
      </w:r>
      <w:r>
        <w:rPr>
          <w:sz w:val="28"/>
          <w:szCs w:val="28"/>
        </w:rPr>
        <w:t xml:space="preserve">Госуслуг</w:t>
      </w:r>
      <w:r>
        <w:rPr>
          <w:sz w:val="28"/>
          <w:szCs w:val="28"/>
        </w:rPr>
        <w:t xml:space="preserve">, ТОР КНД – типовое облачное решение по автоматизации контрольной (надзорной) деятельности, ЕГРЮЛ/ЕГРИП).</w:t>
      </w:r>
      <w:r>
        <w:rPr>
          <w:rFonts w:ascii="Roboto" w:hAnsi="Roboto"/>
          <w:sz w:val="28"/>
          <w:szCs w:val="28"/>
        </w:rPr>
      </w:r>
      <w:r>
        <w:rPr>
          <w:rFonts w:ascii="Roboto" w:hAnsi="Roboto"/>
          <w:sz w:val="28"/>
          <w:szCs w:val="28"/>
        </w:rPr>
      </w:r>
    </w:p>
    <w:p>
      <w:pPr>
        <w:pStyle w:val="1_784"/>
        <w:ind w:firstLine="709"/>
        <w:jc w:val="both"/>
        <w:spacing w:before="0" w:beforeAutospacing="0" w:after="0" w:afterAutospacing="0"/>
        <w:shd w:val="clear" w:color="auto" w:fill="ffffff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Свое функционирование Единый реестр проверок продолжает, но уже в качестве подсистемы ЕРКНМ.</w:t>
      </w:r>
      <w:r>
        <w:rPr>
          <w:rFonts w:ascii="Roboto" w:hAnsi="Roboto"/>
          <w:sz w:val="28"/>
          <w:szCs w:val="28"/>
        </w:rPr>
      </w:r>
      <w:r>
        <w:rPr>
          <w:rFonts w:ascii="Roboto" w:hAnsi="Roboto"/>
          <w:sz w:val="28"/>
          <w:szCs w:val="28"/>
        </w:rPr>
      </w:r>
    </w:p>
    <w:p>
      <w:pPr>
        <w:pStyle w:val="1_784"/>
        <w:ind w:firstLine="709"/>
        <w:jc w:val="both"/>
        <w:spacing w:before="0" w:beforeAutospacing="0" w:after="0" w:afterAutospacing="0"/>
        <w:shd w:val="clear" w:color="auto" w:fill="ffffff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В данный реестр добавляется не только само требование, но и сведения о том, кем оно проверяется, в каком нормативном документе содержится, какова ответственность за его несоблюдение.</w:t>
      </w:r>
      <w:r>
        <w:rPr>
          <w:rFonts w:ascii="Roboto" w:hAnsi="Roboto"/>
          <w:sz w:val="28"/>
          <w:szCs w:val="28"/>
        </w:rPr>
      </w:r>
      <w:r>
        <w:rPr>
          <w:rFonts w:ascii="Roboto" w:hAnsi="Roboto"/>
          <w:sz w:val="28"/>
          <w:szCs w:val="28"/>
        </w:rPr>
      </w:r>
    </w:p>
    <w:p>
      <w:pPr>
        <w:pStyle w:val="1_784"/>
        <w:ind w:firstLine="709"/>
        <w:jc w:val="both"/>
        <w:spacing w:before="0" w:beforeAutospacing="0" w:after="0" w:afterAutospacing="0"/>
        <w:shd w:val="clear" w:color="auto" w:fill="ffffff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Формирование и ведение реестров осуществляется в рамках правового поля. Работа с реестрами регламентируется постановлениями Правительства Российской Федерации от 24</w:t>
      </w:r>
      <w:r>
        <w:rPr>
          <w:sz w:val="28"/>
          <w:szCs w:val="28"/>
        </w:rPr>
        <w:t xml:space="preserve">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от 06.02.2021 № 128 «Об утверждении Правил формирования, ведения и акту</w:t>
      </w:r>
      <w:r>
        <w:rPr>
          <w:sz w:val="28"/>
          <w:szCs w:val="28"/>
        </w:rPr>
        <w:t xml:space="preserve">ализации реестра обязательных требований»,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415».</w:t>
      </w:r>
      <w:r>
        <w:rPr>
          <w:rFonts w:ascii="Roboto" w:hAnsi="Roboto"/>
          <w:sz w:val="28"/>
          <w:szCs w:val="28"/>
        </w:rPr>
      </w:r>
      <w:r>
        <w:rPr>
          <w:rFonts w:ascii="Roboto" w:hAnsi="Robo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Общие сведения о кадровом об</w:t>
      </w:r>
      <w:r>
        <w:rPr>
          <w:rFonts w:ascii="Times New Roman" w:hAnsi="Times New Roman" w:cs="Times New Roman"/>
          <w:sz w:val="28"/>
          <w:szCs w:val="28"/>
        </w:rPr>
        <w:t xml:space="preserve">еспечении в контрольных органах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Администрацией района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принято распоряжение о назначении ответственных лиц за осуществление муниципального контроля в администрации района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от 28.12.2023 №136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br/>
        <w:t xml:space="preserve">«О назначении ответственных лиц за осуществление муниципального контроля в администрации Ленинского района города Барнаула»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Распоряжением администрации района от 28.12.2023 №136-р ответственным лицом за осуществление муниципального контроля в администрации района определен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первый заместитель главы администрации района по жилищно-коммунальному хозяйству.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 в пяти органах администрации района назначены 18 инспекторов для осуществления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КНМ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профилактических мероприятий в рамках муниципального контроля в сфере благоустройства</w:t>
      </w:r>
      <w:r>
        <w:rPr>
          <w:rFonts w:ascii="Times New Roman" w:hAnsi="Times New Roman" w:eastAsia="Times New Roman" w:cs="Times New Roman"/>
          <w:sz w:val="27"/>
          <w:szCs w:val="27"/>
          <w:lang w:eastAsia="ar-SA"/>
        </w:rPr>
        <w:t xml:space="preserve"> на курируемых объектах, расположенных на территории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Выводы и предложения по итогам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вида контроля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</w:t>
      </w:r>
      <w:r>
        <w:rPr>
          <w:rFonts w:ascii="Times New Roman" w:hAnsi="Times New Roman" w:cs="Times New Roman"/>
          <w:sz w:val="28"/>
          <w:szCs w:val="28"/>
        </w:rPr>
        <w:t xml:space="preserve"> году администрацией района контрольные мероприятия в сфере благоустройства не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 прокуратуро</w:t>
      </w:r>
      <w:r>
        <w:rPr>
          <w:rFonts w:ascii="Times New Roman" w:hAnsi="Times New Roman" w:cs="Times New Roman"/>
          <w:sz w:val="28"/>
          <w:szCs w:val="28"/>
        </w:rPr>
        <w:t xml:space="preserve">й Ленинского района города Барнаула включенные в проект плана мероприятия были исключены с формулировкой о невозможности проведения контрольных мероприятий из-за отсутствия контрольных (надзорных) мероприятий в отношении данных юридических лиц в 2023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истрацией района осуществлялись профилактические мероприятия в рамках Программы 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</w:t>
      </w:r>
      <w:r>
        <w:rPr>
          <w:rFonts w:ascii="Times New Roman" w:hAnsi="Times New Roman" w:cs="Times New Roman"/>
          <w:sz w:val="28"/>
          <w:szCs w:val="28"/>
        </w:rPr>
        <w:t xml:space="preserve">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2023 год, утвержденной постановлением администрации района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14.12.2022 №934.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профилактических мероприятий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контролируемые лица недостаточно информированы об обязательных требованиях соблюдения Правил благоустройства территории городского округа - города Барнаула Алтайского края, административной ответственности за несоблюдение данных Правил, хотя администрацие</w:t>
      </w:r>
      <w:r>
        <w:rPr>
          <w:rFonts w:ascii="Times New Roman" w:hAnsi="Times New Roman" w:cs="Times New Roman"/>
          <w:sz w:val="28"/>
          <w:szCs w:val="28"/>
        </w:rPr>
        <w:t xml:space="preserve">й района проводится достаточное информирование по вопросам соблюдения обязательных требований, об изменениях законодательства, регламентирующего порядок осуществления муниципального контроля, привлечения лиц к административной ответственности за нарушение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посредством размещения публикаций в рубрике «Муниципальный контроль» на странице Ленинского района официального Интернет - сайта города Барнаула.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профилактических мероприятий выявленные замечания устранены в добровольном порядке.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нормативной </w:t>
      </w:r>
      <w:r>
        <w:rPr>
          <w:rFonts w:ascii="Times New Roman" w:hAnsi="Times New Roman" w:cs="Times New Roman"/>
          <w:sz w:val="28"/>
          <w:szCs w:val="28"/>
        </w:rPr>
        <w:t xml:space="preserve">правовой базы с целью реализации положений Федерального закона от 31.07.2020 №248-ФЗ выполнена в полном объеме.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 результативности осуществления муниципального контроля в сфере 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а, предлагается организовать регулярные обучающие семинары для инспекторов муниципального контроля города Барнаула с привлечением сотрудников органов прокуратуры, специалистов администрации города Барнаула по вопросам осуществления контрольных мероприятий.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работу по внесению объектов контроля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э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лектронные системы ЕРВК и ЕРКНМ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в 2025 году внеплановые контрольные (надзорные) мероприятия согласованные с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9" w:h="16834" w:orient="portrait"/>
      <w:pgMar w:top="851" w:right="851" w:bottom="1134" w:left="1985" w:header="567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91141628"/>
      <w:docPartObj>
        <w:docPartGallery w:val="Page Numbers (Top of Page)"/>
        <w:docPartUnique w:val="true"/>
      </w:docPartObj>
      <w:rPr/>
    </w:sdtPr>
    <w:sdtContent>
      <w:p>
        <w:pPr>
          <w:pStyle w:val="68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6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5"/>
    <w:uiPriority w:val="99"/>
  </w:style>
  <w:style w:type="character" w:styleId="45">
    <w:name w:val="Footer Char"/>
    <w:basedOn w:val="680"/>
    <w:link w:val="687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8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Balloon Text"/>
    <w:basedOn w:val="679"/>
    <w:link w:val="6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4" w:customStyle="1">
    <w:name w:val="Текст выноски Знак"/>
    <w:basedOn w:val="680"/>
    <w:link w:val="683"/>
    <w:uiPriority w:val="99"/>
    <w:semiHidden/>
    <w:rPr>
      <w:rFonts w:ascii="Tahoma" w:hAnsi="Tahoma" w:cs="Tahoma"/>
      <w:sz w:val="16"/>
      <w:szCs w:val="16"/>
    </w:rPr>
  </w:style>
  <w:style w:type="paragraph" w:styleId="685">
    <w:name w:val="Header"/>
    <w:basedOn w:val="679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80"/>
    <w:link w:val="685"/>
    <w:uiPriority w:val="99"/>
  </w:style>
  <w:style w:type="paragraph" w:styleId="687">
    <w:name w:val="Footer"/>
    <w:basedOn w:val="679"/>
    <w:link w:val="6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8" w:customStyle="1">
    <w:name w:val="Нижний колонтитул Знак"/>
    <w:basedOn w:val="680"/>
    <w:link w:val="687"/>
    <w:uiPriority w:val="99"/>
  </w:style>
  <w:style w:type="paragraph" w:styleId="689">
    <w:name w:val="List Paragraph"/>
    <w:basedOn w:val="679"/>
    <w:uiPriority w:val="34"/>
    <w:qFormat/>
    <w:pPr>
      <w:contextualSpacing/>
      <w:ind w:left="720"/>
    </w:pPr>
  </w:style>
  <w:style w:type="table" w:styleId="1_783" w:customStyle="1">
    <w:name w:val="Сетка таблицы1"/>
    <w:basedOn w:val="688"/>
    <w:next w:val="700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_784" w:customStyle="1">
    <w:name w:val="Normal (Web)"/>
    <w:basedOn w:val="685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revision>4</cp:revision>
  <dcterms:created xsi:type="dcterms:W3CDTF">2025-01-31T05:13:00Z</dcterms:created>
  <dcterms:modified xsi:type="dcterms:W3CDTF">2025-03-05T02:28:59Z</dcterms:modified>
</cp:coreProperties>
</file>