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Приговором Железнодорожного районного суда города Барнаула местный житель осужден за заведомо ложный донос о совершении преступления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Приговором Железнодорожного районного суда города Барнаула местный житель осужден по ч.2 ст.306 УК РФ (заведомо ложный донос о совершении преступления, соединенный с обвинением лица в совершении тяжкого преступления).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Установлено, что в августе 2023 года мужчина из-за проблем на работе и поссорившись с девушкой, желая привлечь внимание окружающих к себе, подал в правоохранительные органы заявление. В нем он сообщил, что двое парней якобы похитили принадлежащее ему имущ</w:t>
      </w:r>
      <w:r>
        <w:rPr>
          <w:rFonts w:ascii="Times New Roman" w:hAnsi="Times New Roman" w:eastAsia="Times New Roman" w:cs="Times New Roman"/>
          <w:color w:val="333333"/>
          <w:sz w:val="28"/>
        </w:rPr>
        <w:t xml:space="preserve">ество.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В ходе проверочных мероприятий было установлено, что гражданин сообщил заведомо ложные сведения о совершенном в отношении него тяжком преступлении.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В судебном заседании подсудимый вину признал.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Виновному судом назначено наказание в виде штрафа в размере 100 тысяч рублей.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2024-12-26T01:52:20Z</dcterms:modified>
</cp:coreProperties>
</file>