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570"/>
      </w:tblGrid>
      <w:tr w:rsidR="00853329" w:rsidTr="00437EAD">
        <w:tc>
          <w:tcPr>
            <w:tcW w:w="9570" w:type="dxa"/>
          </w:tcPr>
          <w:p w:rsidR="00853329" w:rsidRDefault="00853329" w:rsidP="00437EAD">
            <w:pPr>
              <w:shd w:val="clear" w:color="auto" w:fill="FFFFFF"/>
              <w:jc w:val="center"/>
              <w:rPr>
                <w:sz w:val="38"/>
                <w:szCs w:val="38"/>
              </w:rPr>
            </w:pPr>
            <w:r>
              <w:rPr>
                <w:sz w:val="38"/>
                <w:szCs w:val="38"/>
              </w:rPr>
              <w:t>Российская Федерация</w:t>
            </w:r>
          </w:p>
          <w:p w:rsidR="00853329" w:rsidRDefault="00853329" w:rsidP="00437EAD">
            <w:pPr>
              <w:shd w:val="clear" w:color="auto" w:fill="FFFFFF"/>
              <w:jc w:val="center"/>
              <w:rPr>
                <w:sz w:val="38"/>
                <w:szCs w:val="38"/>
              </w:rPr>
            </w:pPr>
            <w:r>
              <w:rPr>
                <w:noProof/>
              </w:rPr>
              <w:drawing>
                <wp:inline distT="0" distB="0" distL="0" distR="0">
                  <wp:extent cx="590550" cy="752475"/>
                  <wp:effectExtent l="0" t="0" r="0" b="9525"/>
                  <wp:docPr id="1" name="Рисунок 1" descr="брендб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ендбу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tc>
      </w:tr>
      <w:tr w:rsidR="00853329" w:rsidTr="00437EAD">
        <w:tc>
          <w:tcPr>
            <w:tcW w:w="9570" w:type="dxa"/>
          </w:tcPr>
          <w:p w:rsidR="00853329" w:rsidRDefault="00853329" w:rsidP="00437EAD">
            <w:pPr>
              <w:shd w:val="clear" w:color="auto" w:fill="FFFFFF"/>
              <w:jc w:val="center"/>
            </w:pPr>
            <w:r>
              <w:rPr>
                <w:sz w:val="40"/>
                <w:szCs w:val="40"/>
              </w:rPr>
              <w:t>Барнаульская городская Дума</w:t>
            </w:r>
          </w:p>
          <w:p w:rsidR="00853329" w:rsidRDefault="00853329" w:rsidP="00437EAD">
            <w:pPr>
              <w:shd w:val="clear" w:color="auto" w:fill="FFFFFF"/>
              <w:jc w:val="center"/>
              <w:rPr>
                <w:sz w:val="40"/>
                <w:szCs w:val="40"/>
              </w:rPr>
            </w:pPr>
            <w:r>
              <w:rPr>
                <w:sz w:val="54"/>
                <w:szCs w:val="54"/>
              </w:rPr>
              <w:t>РЕШЕНИЕ</w:t>
            </w:r>
          </w:p>
        </w:tc>
      </w:tr>
      <w:tr w:rsidR="00853329" w:rsidTr="00437EAD">
        <w:tc>
          <w:tcPr>
            <w:tcW w:w="9570" w:type="dxa"/>
          </w:tcPr>
          <w:p w:rsidR="00853329" w:rsidRDefault="00853329" w:rsidP="00437EAD">
            <w:pPr>
              <w:shd w:val="clear" w:color="auto" w:fill="FFFFFF"/>
              <w:tabs>
                <w:tab w:val="left" w:leader="underscore" w:pos="2698"/>
                <w:tab w:val="left" w:leader="underscore" w:pos="4685"/>
              </w:tabs>
              <w:spacing w:before="562"/>
              <w:rPr>
                <w:sz w:val="40"/>
                <w:szCs w:val="40"/>
              </w:rPr>
            </w:pPr>
            <w:r>
              <w:rPr>
                <w:rFonts w:ascii="Arial" w:hAnsi="Arial"/>
                <w:b/>
                <w:bCs/>
                <w:spacing w:val="-11"/>
                <w:sz w:val="22"/>
                <w:szCs w:val="22"/>
              </w:rPr>
              <w:t>от</w:t>
            </w:r>
            <w:r>
              <w:rPr>
                <w:rFonts w:ascii="Arial" w:hAnsi="Arial" w:cs="Arial"/>
                <w:b/>
                <w:bCs/>
                <w:sz w:val="22"/>
                <w:szCs w:val="22"/>
              </w:rPr>
              <w:tab/>
            </w:r>
            <w:r>
              <w:rPr>
                <w:rFonts w:ascii="Arial" w:hAnsi="Arial"/>
                <w:b/>
                <w:bCs/>
                <w:sz w:val="22"/>
                <w:szCs w:val="22"/>
              </w:rPr>
              <w:t>№</w:t>
            </w:r>
            <w:r>
              <w:rPr>
                <w:rFonts w:ascii="Arial" w:hAnsi="Arial" w:cs="Arial"/>
                <w:b/>
                <w:bCs/>
                <w:sz w:val="22"/>
                <w:szCs w:val="22"/>
              </w:rPr>
              <w:tab/>
            </w:r>
          </w:p>
        </w:tc>
      </w:tr>
    </w:tbl>
    <w:p w:rsidR="00853329" w:rsidRDefault="00853329" w:rsidP="00853329"/>
    <w:p w:rsidR="00853329" w:rsidRDefault="00853329" w:rsidP="00853329"/>
    <w:p w:rsidR="00853329" w:rsidRDefault="00853329" w:rsidP="00853329"/>
    <w:p w:rsidR="003A2B93" w:rsidRDefault="003A2B93" w:rsidP="00853329"/>
    <w:p w:rsidR="00853329" w:rsidRPr="00572775" w:rsidRDefault="008908CE" w:rsidP="00E1026F">
      <w:pPr>
        <w:pStyle w:val="1"/>
        <w:keepNext w:val="0"/>
        <w:ind w:right="5244"/>
        <w:jc w:val="both"/>
      </w:pPr>
      <w:r w:rsidRPr="007570BC">
        <w:t>О единовременных именных денежных выплатах главы города Барнаула студентам, аспирантам и докторантам</w:t>
      </w:r>
    </w:p>
    <w:p w:rsidR="00853329" w:rsidRPr="00572775" w:rsidRDefault="00853329" w:rsidP="00853329">
      <w:pPr>
        <w:pStyle w:val="a3"/>
      </w:pPr>
    </w:p>
    <w:p w:rsidR="0089277F" w:rsidRDefault="0089277F"/>
    <w:p w:rsidR="00853329" w:rsidRDefault="00FE6047" w:rsidP="00FE6047">
      <w:pPr>
        <w:ind w:firstLine="709"/>
        <w:jc w:val="both"/>
        <w:rPr>
          <w:sz w:val="28"/>
          <w:szCs w:val="28"/>
        </w:rPr>
      </w:pPr>
      <w:r>
        <w:rPr>
          <w:sz w:val="28"/>
          <w:szCs w:val="28"/>
        </w:rPr>
        <w:t xml:space="preserve">В соответствии с Федеральным законом от 06.10.2003 №131-ФЗ </w:t>
      </w:r>
      <w:r w:rsidR="00E1026F">
        <w:rPr>
          <w:sz w:val="28"/>
          <w:szCs w:val="28"/>
        </w:rPr>
        <w:t xml:space="preserve">                 </w:t>
      </w:r>
      <w:r>
        <w:rPr>
          <w:sz w:val="28"/>
          <w:szCs w:val="28"/>
        </w:rPr>
        <w:t>«Об общих принципах организации местного самоуправ</w:t>
      </w:r>
      <w:r w:rsidR="00B37E86">
        <w:rPr>
          <w:sz w:val="28"/>
          <w:szCs w:val="28"/>
        </w:rPr>
        <w:t>ления в Российской Федерации», в</w:t>
      </w:r>
      <w:r>
        <w:rPr>
          <w:sz w:val="28"/>
          <w:szCs w:val="28"/>
        </w:rPr>
        <w:t xml:space="preserve"> цел</w:t>
      </w:r>
      <w:r w:rsidR="00B37E86">
        <w:rPr>
          <w:sz w:val="28"/>
          <w:szCs w:val="28"/>
        </w:rPr>
        <w:t>ях</w:t>
      </w:r>
      <w:r>
        <w:rPr>
          <w:sz w:val="28"/>
          <w:szCs w:val="28"/>
        </w:rPr>
        <w:t xml:space="preserve">  </w:t>
      </w:r>
      <w:r w:rsidR="00853329" w:rsidRPr="00FE6047">
        <w:rPr>
          <w:sz w:val="28"/>
          <w:szCs w:val="28"/>
        </w:rPr>
        <w:t xml:space="preserve">поощрения за особые достижения в </w:t>
      </w:r>
      <w:r>
        <w:rPr>
          <w:sz w:val="28"/>
          <w:szCs w:val="28"/>
        </w:rPr>
        <w:t>учебной, научной деятельности и социальной поддержки студентов, аспирантов и докторантов городская Дума</w:t>
      </w:r>
    </w:p>
    <w:p w:rsidR="00FE6047" w:rsidRDefault="00FE6047" w:rsidP="00FE6047">
      <w:pPr>
        <w:jc w:val="both"/>
        <w:rPr>
          <w:sz w:val="28"/>
          <w:szCs w:val="28"/>
        </w:rPr>
      </w:pPr>
      <w:r>
        <w:rPr>
          <w:sz w:val="28"/>
          <w:szCs w:val="28"/>
        </w:rPr>
        <w:t>РЕШИЛА:</w:t>
      </w:r>
    </w:p>
    <w:p w:rsidR="00FE6047" w:rsidRPr="004C10DC" w:rsidRDefault="00FE6047" w:rsidP="004C10DC">
      <w:pPr>
        <w:pStyle w:val="a7"/>
        <w:numPr>
          <w:ilvl w:val="0"/>
          <w:numId w:val="1"/>
        </w:numPr>
        <w:tabs>
          <w:tab w:val="left" w:pos="1134"/>
        </w:tabs>
        <w:ind w:left="0" w:firstLine="709"/>
        <w:jc w:val="both"/>
        <w:rPr>
          <w:sz w:val="28"/>
          <w:szCs w:val="28"/>
        </w:rPr>
      </w:pPr>
      <w:r w:rsidRPr="004C10DC">
        <w:rPr>
          <w:sz w:val="28"/>
          <w:szCs w:val="28"/>
        </w:rPr>
        <w:t xml:space="preserve">Установить 66 </w:t>
      </w:r>
      <w:r w:rsidR="003E5684" w:rsidRPr="003E5684">
        <w:rPr>
          <w:sz w:val="28"/>
          <w:szCs w:val="28"/>
        </w:rPr>
        <w:t xml:space="preserve">единовременных </w:t>
      </w:r>
      <w:r w:rsidR="004C10DC" w:rsidRPr="004C10DC">
        <w:rPr>
          <w:sz w:val="28"/>
          <w:szCs w:val="28"/>
        </w:rPr>
        <w:t>и</w:t>
      </w:r>
      <w:r w:rsidRPr="004C10DC">
        <w:rPr>
          <w:sz w:val="28"/>
          <w:szCs w:val="28"/>
        </w:rPr>
        <w:t xml:space="preserve">менных </w:t>
      </w:r>
      <w:r w:rsidR="00A86369" w:rsidRPr="000A0E83">
        <w:rPr>
          <w:sz w:val="28"/>
          <w:szCs w:val="28"/>
        </w:rPr>
        <w:t>денежных</w:t>
      </w:r>
      <w:r w:rsidR="00A86369" w:rsidRPr="004C10DC">
        <w:rPr>
          <w:sz w:val="28"/>
          <w:szCs w:val="28"/>
        </w:rPr>
        <w:t xml:space="preserve"> </w:t>
      </w:r>
      <w:r w:rsidR="008A0CDF">
        <w:rPr>
          <w:sz w:val="28"/>
          <w:szCs w:val="28"/>
        </w:rPr>
        <w:t>выплат</w:t>
      </w:r>
      <w:r w:rsidRPr="004C10DC">
        <w:rPr>
          <w:sz w:val="28"/>
          <w:szCs w:val="28"/>
        </w:rPr>
        <w:t xml:space="preserve"> </w:t>
      </w:r>
      <w:r w:rsidR="004C10DC" w:rsidRPr="004C10DC">
        <w:rPr>
          <w:sz w:val="28"/>
          <w:szCs w:val="28"/>
        </w:rPr>
        <w:t>главы</w:t>
      </w:r>
      <w:r w:rsidRPr="004C10DC">
        <w:rPr>
          <w:sz w:val="28"/>
          <w:szCs w:val="28"/>
        </w:rPr>
        <w:t xml:space="preserve"> города Барнаула</w:t>
      </w:r>
      <w:r w:rsidR="00A91BB9">
        <w:rPr>
          <w:sz w:val="28"/>
          <w:szCs w:val="28"/>
        </w:rPr>
        <w:t xml:space="preserve"> (далее – в</w:t>
      </w:r>
      <w:bookmarkStart w:id="0" w:name="_GoBack"/>
      <w:bookmarkEnd w:id="0"/>
      <w:r w:rsidR="00A86369">
        <w:rPr>
          <w:sz w:val="28"/>
          <w:szCs w:val="28"/>
        </w:rPr>
        <w:t>ыплаты)</w:t>
      </w:r>
      <w:r w:rsidRPr="004C10DC">
        <w:rPr>
          <w:sz w:val="28"/>
          <w:szCs w:val="28"/>
        </w:rPr>
        <w:t>, из которых:</w:t>
      </w:r>
    </w:p>
    <w:p w:rsidR="001327CF" w:rsidRDefault="004C10DC" w:rsidP="001327CF">
      <w:pPr>
        <w:pStyle w:val="a7"/>
        <w:numPr>
          <w:ilvl w:val="1"/>
          <w:numId w:val="3"/>
        </w:numPr>
        <w:tabs>
          <w:tab w:val="left" w:pos="1134"/>
        </w:tabs>
        <w:jc w:val="both"/>
        <w:rPr>
          <w:sz w:val="28"/>
          <w:szCs w:val="28"/>
        </w:rPr>
      </w:pPr>
      <w:r w:rsidRPr="004C10DC">
        <w:rPr>
          <w:sz w:val="28"/>
          <w:szCs w:val="28"/>
        </w:rPr>
        <w:t>Студентам</w:t>
      </w:r>
      <w:r w:rsidR="001327CF">
        <w:rPr>
          <w:sz w:val="28"/>
          <w:szCs w:val="28"/>
        </w:rPr>
        <w:t>:</w:t>
      </w:r>
    </w:p>
    <w:p w:rsidR="004C10DC" w:rsidRPr="004C10DC" w:rsidRDefault="004C10DC" w:rsidP="001327CF">
      <w:pPr>
        <w:pStyle w:val="a7"/>
        <w:numPr>
          <w:ilvl w:val="2"/>
          <w:numId w:val="3"/>
        </w:numPr>
        <w:tabs>
          <w:tab w:val="left" w:pos="1134"/>
        </w:tabs>
        <w:ind w:left="0" w:firstLine="709"/>
        <w:jc w:val="both"/>
        <w:rPr>
          <w:rFonts w:eastAsia="Calibri"/>
          <w:sz w:val="28"/>
          <w:szCs w:val="28"/>
        </w:rPr>
      </w:pPr>
      <w:r w:rsidRPr="004C10DC">
        <w:rPr>
          <w:sz w:val="28"/>
          <w:szCs w:val="28"/>
        </w:rPr>
        <w:t xml:space="preserve"> </w:t>
      </w:r>
      <w:r w:rsidR="001327CF">
        <w:rPr>
          <w:sz w:val="28"/>
          <w:szCs w:val="28"/>
        </w:rPr>
        <w:t>О</w:t>
      </w:r>
      <w:r w:rsidRPr="004C10DC">
        <w:rPr>
          <w:sz w:val="28"/>
          <w:szCs w:val="28"/>
        </w:rPr>
        <w:t xml:space="preserve">бразовательных организаций высшего образования города Барнаула – 42 </w:t>
      </w:r>
      <w:r w:rsidR="008A0CDF">
        <w:rPr>
          <w:sz w:val="28"/>
          <w:szCs w:val="28"/>
        </w:rPr>
        <w:t>выплат</w:t>
      </w:r>
      <w:r w:rsidR="00525BB1">
        <w:rPr>
          <w:sz w:val="28"/>
          <w:szCs w:val="28"/>
        </w:rPr>
        <w:t>ы</w:t>
      </w:r>
      <w:r w:rsidRPr="004C10DC">
        <w:rPr>
          <w:sz w:val="28"/>
          <w:szCs w:val="28"/>
        </w:rPr>
        <w:t>, в том числе:</w:t>
      </w:r>
    </w:p>
    <w:p w:rsidR="004C10DC" w:rsidRPr="004C10DC" w:rsidRDefault="004C10DC" w:rsidP="004C10DC">
      <w:pPr>
        <w:pStyle w:val="a8"/>
        <w:tabs>
          <w:tab w:val="left" w:pos="1134"/>
        </w:tabs>
        <w:spacing w:after="0"/>
        <w:ind w:left="0" w:firstLine="709"/>
        <w:jc w:val="both"/>
        <w:rPr>
          <w:sz w:val="28"/>
          <w:szCs w:val="28"/>
        </w:rPr>
      </w:pPr>
      <w:r w:rsidRPr="004C10DC">
        <w:rPr>
          <w:sz w:val="28"/>
          <w:szCs w:val="28"/>
        </w:rPr>
        <w:t xml:space="preserve">федерального государственного бюджетного образовательного учреждения высшего образования «Алтайский государственный технический университет им.И.И.Ползунова» – 8 </w:t>
      </w:r>
      <w:r w:rsidR="00D969B9">
        <w:rPr>
          <w:sz w:val="28"/>
          <w:szCs w:val="28"/>
        </w:rPr>
        <w:t>выплат</w:t>
      </w:r>
      <w:r w:rsidRPr="004C10DC">
        <w:rPr>
          <w:sz w:val="28"/>
          <w:szCs w:val="28"/>
        </w:rPr>
        <w:t>;</w:t>
      </w:r>
    </w:p>
    <w:p w:rsidR="004C10DC" w:rsidRPr="004C10DC" w:rsidRDefault="004C10DC" w:rsidP="004C10DC">
      <w:pPr>
        <w:pStyle w:val="a8"/>
        <w:tabs>
          <w:tab w:val="left" w:pos="1134"/>
        </w:tabs>
        <w:spacing w:after="0"/>
        <w:ind w:left="0" w:firstLine="709"/>
        <w:jc w:val="both"/>
        <w:rPr>
          <w:sz w:val="28"/>
          <w:szCs w:val="28"/>
        </w:rPr>
      </w:pPr>
      <w:r w:rsidRPr="004C10DC">
        <w:rPr>
          <w:sz w:val="28"/>
          <w:szCs w:val="28"/>
        </w:rPr>
        <w:t xml:space="preserve">федерального государственного бюджетного образовательного учреждения высшего образования «Алтайский государственный университет» – 7 </w:t>
      </w:r>
      <w:r w:rsidR="0081025D">
        <w:rPr>
          <w:sz w:val="28"/>
          <w:szCs w:val="28"/>
        </w:rPr>
        <w:t>выплат</w:t>
      </w:r>
      <w:r w:rsidRPr="004C10DC">
        <w:rPr>
          <w:sz w:val="28"/>
          <w:szCs w:val="28"/>
        </w:rPr>
        <w:t>;</w:t>
      </w:r>
    </w:p>
    <w:p w:rsidR="004C10DC" w:rsidRPr="004C10DC" w:rsidRDefault="004C10DC" w:rsidP="004C10DC">
      <w:pPr>
        <w:pStyle w:val="a8"/>
        <w:tabs>
          <w:tab w:val="left" w:pos="1134"/>
        </w:tabs>
        <w:spacing w:after="0"/>
        <w:ind w:left="0" w:firstLine="709"/>
        <w:jc w:val="both"/>
        <w:rPr>
          <w:sz w:val="28"/>
          <w:szCs w:val="28"/>
        </w:rPr>
      </w:pPr>
      <w:r w:rsidRPr="004C10DC">
        <w:rPr>
          <w:sz w:val="28"/>
          <w:szCs w:val="28"/>
        </w:rPr>
        <w:t xml:space="preserve">федерального государственного бюджетного образовательного учреждения высшего образования «Алтайский государственный аграрный университет», федерального государственного бюджетного образовательного учреждения высшего образования «Алтайский  государственный медицинский университет» Министерства здравоохранения Российской Федерации, федерального государственного бюджетного образовательного учреждения высшего образования «Алтайский государственный </w:t>
      </w:r>
      <w:r w:rsidRPr="004C10DC">
        <w:rPr>
          <w:sz w:val="28"/>
          <w:szCs w:val="28"/>
        </w:rPr>
        <w:lastRenderedPageBreak/>
        <w:t xml:space="preserve">педагогический университет», федерального государственного бюджетного образовательного учреждения высшего образования «Алтайский государственный институт культуры» – по 6 </w:t>
      </w:r>
      <w:r w:rsidR="00D148F3">
        <w:rPr>
          <w:sz w:val="28"/>
          <w:szCs w:val="28"/>
        </w:rPr>
        <w:t>выплат</w:t>
      </w:r>
      <w:r w:rsidRPr="004C10DC">
        <w:rPr>
          <w:sz w:val="28"/>
          <w:szCs w:val="28"/>
        </w:rPr>
        <w:t>;</w:t>
      </w:r>
    </w:p>
    <w:p w:rsidR="004C10DC" w:rsidRPr="004C10DC" w:rsidRDefault="004C10DC" w:rsidP="00EE3831">
      <w:pPr>
        <w:pStyle w:val="a8"/>
        <w:tabs>
          <w:tab w:val="left" w:pos="1134"/>
        </w:tabs>
        <w:spacing w:after="0"/>
        <w:ind w:left="0" w:firstLine="709"/>
        <w:jc w:val="both"/>
        <w:rPr>
          <w:sz w:val="28"/>
          <w:szCs w:val="28"/>
        </w:rPr>
      </w:pPr>
      <w:r w:rsidRPr="004C10DC">
        <w:rPr>
          <w:sz w:val="28"/>
          <w:szCs w:val="28"/>
        </w:rPr>
        <w:t xml:space="preserve">Алтайского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 2 </w:t>
      </w:r>
      <w:r w:rsidR="00D06F22">
        <w:rPr>
          <w:sz w:val="28"/>
          <w:szCs w:val="28"/>
        </w:rPr>
        <w:t>выплат</w:t>
      </w:r>
      <w:r w:rsidR="00D43FA5">
        <w:rPr>
          <w:sz w:val="28"/>
          <w:szCs w:val="28"/>
        </w:rPr>
        <w:t>ы</w:t>
      </w:r>
      <w:r w:rsidRPr="004C10DC">
        <w:rPr>
          <w:sz w:val="28"/>
          <w:szCs w:val="28"/>
        </w:rPr>
        <w:t>;</w:t>
      </w:r>
    </w:p>
    <w:p w:rsidR="004C10DC" w:rsidRPr="004C10DC" w:rsidRDefault="004C10DC" w:rsidP="00EE3831">
      <w:pPr>
        <w:pStyle w:val="a8"/>
        <w:tabs>
          <w:tab w:val="left" w:pos="1134"/>
        </w:tabs>
        <w:spacing w:after="0"/>
        <w:ind w:left="0" w:firstLine="709"/>
        <w:jc w:val="both"/>
        <w:rPr>
          <w:sz w:val="28"/>
          <w:szCs w:val="28"/>
        </w:rPr>
      </w:pPr>
      <w:r w:rsidRPr="004C10DC">
        <w:rPr>
          <w:sz w:val="28"/>
          <w:szCs w:val="28"/>
        </w:rPr>
        <w:t xml:space="preserve">федерального государственного казенного образовательного учреждения высшего образования «Барнаульский юридический институт Министерства внутренних дел Российской Федерации» – 1 </w:t>
      </w:r>
      <w:r w:rsidR="009314D4">
        <w:rPr>
          <w:sz w:val="28"/>
          <w:szCs w:val="28"/>
        </w:rPr>
        <w:t>выплата</w:t>
      </w:r>
      <w:r w:rsidRPr="004C10DC">
        <w:rPr>
          <w:sz w:val="28"/>
          <w:szCs w:val="28"/>
        </w:rPr>
        <w:t>;</w:t>
      </w:r>
    </w:p>
    <w:p w:rsidR="004C10DC" w:rsidRPr="004C10DC" w:rsidRDefault="001327CF" w:rsidP="001327CF">
      <w:pPr>
        <w:pStyle w:val="a8"/>
        <w:numPr>
          <w:ilvl w:val="2"/>
          <w:numId w:val="3"/>
        </w:numPr>
        <w:tabs>
          <w:tab w:val="left" w:pos="1276"/>
        </w:tabs>
        <w:spacing w:after="0"/>
        <w:ind w:left="0" w:firstLine="709"/>
        <w:jc w:val="both"/>
        <w:rPr>
          <w:sz w:val="28"/>
          <w:szCs w:val="28"/>
        </w:rPr>
      </w:pPr>
      <w:r>
        <w:rPr>
          <w:sz w:val="28"/>
          <w:szCs w:val="28"/>
        </w:rPr>
        <w:t>П</w:t>
      </w:r>
      <w:r w:rsidR="004C10DC" w:rsidRPr="004C10DC">
        <w:rPr>
          <w:sz w:val="28"/>
          <w:szCs w:val="28"/>
        </w:rPr>
        <w:t xml:space="preserve">рофессиональных образовательных организаций города Барнаула – 7 </w:t>
      </w:r>
      <w:r w:rsidR="00D82A90">
        <w:rPr>
          <w:sz w:val="28"/>
          <w:szCs w:val="28"/>
        </w:rPr>
        <w:t>выплат</w:t>
      </w:r>
      <w:r w:rsidR="004C10DC" w:rsidRPr="004C10DC">
        <w:rPr>
          <w:sz w:val="28"/>
          <w:szCs w:val="28"/>
        </w:rPr>
        <w:t xml:space="preserve">; </w:t>
      </w:r>
    </w:p>
    <w:p w:rsidR="004C10DC" w:rsidRPr="004C10DC" w:rsidRDefault="004C10DC" w:rsidP="001327CF">
      <w:pPr>
        <w:pStyle w:val="a7"/>
        <w:numPr>
          <w:ilvl w:val="1"/>
          <w:numId w:val="3"/>
        </w:numPr>
        <w:tabs>
          <w:tab w:val="left" w:pos="1276"/>
        </w:tabs>
        <w:ind w:left="0" w:firstLine="709"/>
        <w:jc w:val="both"/>
        <w:rPr>
          <w:sz w:val="28"/>
          <w:szCs w:val="28"/>
        </w:rPr>
      </w:pPr>
      <w:r w:rsidRPr="004C10DC">
        <w:rPr>
          <w:sz w:val="28"/>
          <w:szCs w:val="28"/>
        </w:rPr>
        <w:t xml:space="preserve">Аспирантам образовательных организаций высшего образования города Барнаула – 13 </w:t>
      </w:r>
      <w:r w:rsidR="0060393D">
        <w:rPr>
          <w:sz w:val="28"/>
          <w:szCs w:val="28"/>
        </w:rPr>
        <w:t>выплат</w:t>
      </w:r>
      <w:r w:rsidRPr="004C10DC">
        <w:rPr>
          <w:sz w:val="28"/>
          <w:szCs w:val="28"/>
        </w:rPr>
        <w:t>, в том числе:</w:t>
      </w:r>
    </w:p>
    <w:p w:rsidR="004C10DC" w:rsidRPr="004C10DC" w:rsidRDefault="004C10DC" w:rsidP="00EE3831">
      <w:pPr>
        <w:pStyle w:val="a8"/>
        <w:tabs>
          <w:tab w:val="left" w:pos="1134"/>
        </w:tabs>
        <w:spacing w:after="0"/>
        <w:ind w:left="0" w:firstLine="709"/>
        <w:jc w:val="both"/>
        <w:rPr>
          <w:sz w:val="28"/>
          <w:szCs w:val="28"/>
        </w:rPr>
      </w:pPr>
      <w:r w:rsidRPr="004C10DC">
        <w:rPr>
          <w:sz w:val="28"/>
          <w:szCs w:val="28"/>
        </w:rPr>
        <w:t xml:space="preserve">федерального государственного бюджетного образовательного учреждения высшего образования «Алтайский государственный институт культуры» - 1 </w:t>
      </w:r>
      <w:r w:rsidR="00474AD0">
        <w:rPr>
          <w:sz w:val="28"/>
          <w:szCs w:val="28"/>
        </w:rPr>
        <w:t>выплат</w:t>
      </w:r>
      <w:r w:rsidR="007B2E96">
        <w:rPr>
          <w:sz w:val="28"/>
          <w:szCs w:val="28"/>
        </w:rPr>
        <w:t>а</w:t>
      </w:r>
      <w:r w:rsidRPr="004C10DC">
        <w:rPr>
          <w:sz w:val="28"/>
          <w:szCs w:val="28"/>
        </w:rPr>
        <w:t>;</w:t>
      </w:r>
    </w:p>
    <w:p w:rsidR="004C10DC" w:rsidRPr="004C10DC" w:rsidRDefault="004C10DC" w:rsidP="00EE3831">
      <w:pPr>
        <w:pStyle w:val="a8"/>
        <w:tabs>
          <w:tab w:val="left" w:pos="1134"/>
        </w:tabs>
        <w:spacing w:after="0"/>
        <w:ind w:left="0" w:firstLine="709"/>
        <w:jc w:val="both"/>
        <w:rPr>
          <w:sz w:val="28"/>
          <w:szCs w:val="28"/>
        </w:rPr>
      </w:pPr>
      <w:r w:rsidRPr="004C10DC">
        <w:rPr>
          <w:sz w:val="28"/>
          <w:szCs w:val="28"/>
        </w:rPr>
        <w:t xml:space="preserve">федерального государственного бюджетного образовательного учреждения высшего образования «Алтайский государственный университет», федерального государственного бюджетного образовательного учреждения высшего образования «Алтайский государственный аграрный университет», федерального государственного бюджетного образовательного учреждения высшего образования «Алтайский государственный медицинский университет» Министерства здравоохранения Российской Федерации - по 2 </w:t>
      </w:r>
      <w:r w:rsidR="00BC06C0">
        <w:rPr>
          <w:sz w:val="28"/>
          <w:szCs w:val="28"/>
        </w:rPr>
        <w:t>выплат</w:t>
      </w:r>
      <w:r w:rsidR="003C00FC">
        <w:rPr>
          <w:sz w:val="28"/>
          <w:szCs w:val="28"/>
        </w:rPr>
        <w:t>ам</w:t>
      </w:r>
      <w:r w:rsidRPr="004C10DC">
        <w:rPr>
          <w:sz w:val="28"/>
          <w:szCs w:val="28"/>
        </w:rPr>
        <w:t>;</w:t>
      </w:r>
    </w:p>
    <w:p w:rsidR="004C10DC" w:rsidRPr="004C10DC" w:rsidRDefault="004C10DC" w:rsidP="00EE3831">
      <w:pPr>
        <w:pStyle w:val="a8"/>
        <w:tabs>
          <w:tab w:val="left" w:pos="1134"/>
        </w:tabs>
        <w:spacing w:after="0"/>
        <w:ind w:left="0" w:firstLine="709"/>
        <w:jc w:val="both"/>
        <w:rPr>
          <w:sz w:val="28"/>
          <w:szCs w:val="28"/>
        </w:rPr>
      </w:pPr>
      <w:r w:rsidRPr="004C10DC">
        <w:rPr>
          <w:sz w:val="28"/>
          <w:szCs w:val="28"/>
        </w:rPr>
        <w:t>федерального государственного бюджетного образовательного учреждения высшего образования «Алтайский государственный технический университет им. И.И. Ползунова», федерального государственного бюджетного образовательного учреждения высшего образования «Алтайский государственный педагогиче</w:t>
      </w:r>
      <w:r w:rsidR="00E1026F">
        <w:rPr>
          <w:sz w:val="28"/>
          <w:szCs w:val="28"/>
        </w:rPr>
        <w:t xml:space="preserve">ский университет» - по 3 </w:t>
      </w:r>
      <w:r w:rsidR="00C359DE">
        <w:rPr>
          <w:sz w:val="28"/>
          <w:szCs w:val="28"/>
        </w:rPr>
        <w:t>выплат</w:t>
      </w:r>
      <w:r w:rsidR="00FB5FC8">
        <w:rPr>
          <w:sz w:val="28"/>
          <w:szCs w:val="28"/>
        </w:rPr>
        <w:t>ам</w:t>
      </w:r>
      <w:r w:rsidR="00E1026F">
        <w:rPr>
          <w:sz w:val="28"/>
          <w:szCs w:val="28"/>
        </w:rPr>
        <w:t>;</w:t>
      </w:r>
    </w:p>
    <w:p w:rsidR="004C10DC" w:rsidRPr="004C10DC" w:rsidRDefault="004C10DC" w:rsidP="001327CF">
      <w:pPr>
        <w:pStyle w:val="a7"/>
        <w:numPr>
          <w:ilvl w:val="1"/>
          <w:numId w:val="3"/>
        </w:numPr>
        <w:tabs>
          <w:tab w:val="left" w:pos="1276"/>
        </w:tabs>
        <w:ind w:left="0" w:firstLine="709"/>
        <w:jc w:val="both"/>
        <w:rPr>
          <w:sz w:val="28"/>
          <w:szCs w:val="28"/>
        </w:rPr>
      </w:pPr>
      <w:r w:rsidRPr="004C10DC">
        <w:rPr>
          <w:sz w:val="28"/>
          <w:szCs w:val="28"/>
        </w:rPr>
        <w:t xml:space="preserve">Докторантам образовательных организаций высшего образования города Барнаула – 4 </w:t>
      </w:r>
      <w:r w:rsidR="00C359DE">
        <w:rPr>
          <w:sz w:val="28"/>
          <w:szCs w:val="28"/>
        </w:rPr>
        <w:t>выплат</w:t>
      </w:r>
      <w:r w:rsidR="00BE3D24">
        <w:rPr>
          <w:sz w:val="28"/>
          <w:szCs w:val="28"/>
        </w:rPr>
        <w:t>ы</w:t>
      </w:r>
      <w:r w:rsidRPr="004C10DC">
        <w:rPr>
          <w:sz w:val="28"/>
          <w:szCs w:val="28"/>
        </w:rPr>
        <w:t>, в том числе:</w:t>
      </w:r>
    </w:p>
    <w:p w:rsidR="004C10DC" w:rsidRPr="004C10DC" w:rsidRDefault="004C10DC" w:rsidP="00EE3831">
      <w:pPr>
        <w:pStyle w:val="a7"/>
        <w:tabs>
          <w:tab w:val="left" w:pos="1134"/>
        </w:tabs>
        <w:ind w:left="0" w:firstLine="709"/>
        <w:jc w:val="both"/>
        <w:rPr>
          <w:sz w:val="28"/>
          <w:szCs w:val="28"/>
        </w:rPr>
      </w:pPr>
      <w:r w:rsidRPr="004C10DC">
        <w:rPr>
          <w:sz w:val="28"/>
          <w:szCs w:val="28"/>
        </w:rPr>
        <w:t xml:space="preserve">федерального государственного бюджетного образовательного учреждения высшего образования «Алтайский государственный университет», федерального государственного бюджетного образовательного учреждения высшего образования «Алтайский государственный педагогический университет» - по 1 </w:t>
      </w:r>
      <w:r w:rsidR="00C85A23">
        <w:rPr>
          <w:sz w:val="28"/>
          <w:szCs w:val="28"/>
        </w:rPr>
        <w:t>выплат</w:t>
      </w:r>
      <w:r w:rsidR="008E43D1">
        <w:rPr>
          <w:sz w:val="28"/>
          <w:szCs w:val="28"/>
        </w:rPr>
        <w:t>е</w:t>
      </w:r>
      <w:r w:rsidRPr="004C10DC">
        <w:rPr>
          <w:sz w:val="28"/>
          <w:szCs w:val="28"/>
        </w:rPr>
        <w:t>;</w:t>
      </w:r>
    </w:p>
    <w:p w:rsidR="004C10DC" w:rsidRPr="004C10DC" w:rsidRDefault="004C10DC" w:rsidP="00EE3831">
      <w:pPr>
        <w:pStyle w:val="a8"/>
        <w:tabs>
          <w:tab w:val="left" w:pos="1134"/>
        </w:tabs>
        <w:spacing w:after="0"/>
        <w:ind w:left="0" w:firstLine="709"/>
        <w:jc w:val="both"/>
        <w:rPr>
          <w:sz w:val="28"/>
          <w:szCs w:val="28"/>
        </w:rPr>
      </w:pPr>
      <w:r w:rsidRPr="004C10DC">
        <w:rPr>
          <w:sz w:val="28"/>
          <w:szCs w:val="28"/>
        </w:rPr>
        <w:t xml:space="preserve">федерального государственного бюджетного образовательного учреждения высшего образования «Алтайский государственный технический университет им. И.И. Ползунова» - </w:t>
      </w:r>
      <w:r w:rsidR="00A2015E">
        <w:rPr>
          <w:sz w:val="28"/>
          <w:szCs w:val="28"/>
        </w:rPr>
        <w:t xml:space="preserve"> по </w:t>
      </w:r>
      <w:r w:rsidRPr="004C10DC">
        <w:rPr>
          <w:sz w:val="28"/>
          <w:szCs w:val="28"/>
        </w:rPr>
        <w:t xml:space="preserve">2 </w:t>
      </w:r>
      <w:r w:rsidR="00C85A23">
        <w:rPr>
          <w:sz w:val="28"/>
          <w:szCs w:val="28"/>
        </w:rPr>
        <w:t>выплат</w:t>
      </w:r>
      <w:r w:rsidR="008E43D1">
        <w:rPr>
          <w:sz w:val="28"/>
          <w:szCs w:val="28"/>
        </w:rPr>
        <w:t>ам</w:t>
      </w:r>
      <w:r w:rsidRPr="004C10DC">
        <w:rPr>
          <w:sz w:val="28"/>
          <w:szCs w:val="28"/>
        </w:rPr>
        <w:t>.</w:t>
      </w:r>
    </w:p>
    <w:p w:rsidR="004C10DC" w:rsidRDefault="00EE3831" w:rsidP="001327CF">
      <w:pPr>
        <w:pStyle w:val="a7"/>
        <w:numPr>
          <w:ilvl w:val="0"/>
          <w:numId w:val="3"/>
        </w:numPr>
        <w:tabs>
          <w:tab w:val="left" w:pos="1134"/>
        </w:tabs>
        <w:ind w:left="0" w:firstLine="709"/>
        <w:jc w:val="both"/>
        <w:rPr>
          <w:sz w:val="28"/>
          <w:szCs w:val="28"/>
        </w:rPr>
      </w:pPr>
      <w:r>
        <w:rPr>
          <w:sz w:val="28"/>
          <w:szCs w:val="28"/>
        </w:rPr>
        <w:t>Утвердить Положение о</w:t>
      </w:r>
      <w:r w:rsidR="00E27BE2">
        <w:rPr>
          <w:sz w:val="28"/>
          <w:szCs w:val="28"/>
        </w:rPr>
        <w:t xml:space="preserve"> </w:t>
      </w:r>
      <w:r w:rsidR="00FA3A54" w:rsidRPr="00FA3A54">
        <w:rPr>
          <w:sz w:val="28"/>
          <w:szCs w:val="28"/>
        </w:rPr>
        <w:t xml:space="preserve">единовременных </w:t>
      </w:r>
      <w:r w:rsidR="00E27BE2">
        <w:rPr>
          <w:sz w:val="28"/>
          <w:szCs w:val="28"/>
        </w:rPr>
        <w:t xml:space="preserve">именных </w:t>
      </w:r>
      <w:r w:rsidR="000F56A0" w:rsidRPr="000F56A0">
        <w:rPr>
          <w:sz w:val="28"/>
          <w:szCs w:val="28"/>
        </w:rPr>
        <w:t>денежных выплатах</w:t>
      </w:r>
      <w:r w:rsidRPr="000F56A0">
        <w:rPr>
          <w:sz w:val="28"/>
          <w:szCs w:val="28"/>
        </w:rPr>
        <w:t xml:space="preserve"> главы г</w:t>
      </w:r>
      <w:r>
        <w:rPr>
          <w:sz w:val="28"/>
          <w:szCs w:val="28"/>
        </w:rPr>
        <w:t>орода</w:t>
      </w:r>
      <w:r w:rsidR="00C64709">
        <w:rPr>
          <w:sz w:val="28"/>
          <w:szCs w:val="28"/>
        </w:rPr>
        <w:t xml:space="preserve"> Барнаула студентам, аспирантам и</w:t>
      </w:r>
      <w:r>
        <w:rPr>
          <w:sz w:val="28"/>
          <w:szCs w:val="28"/>
        </w:rPr>
        <w:t xml:space="preserve"> докторантам (приложение).</w:t>
      </w:r>
    </w:p>
    <w:p w:rsidR="00EE3831" w:rsidRDefault="00EE3831" w:rsidP="001327CF">
      <w:pPr>
        <w:pStyle w:val="a7"/>
        <w:numPr>
          <w:ilvl w:val="0"/>
          <w:numId w:val="3"/>
        </w:numPr>
        <w:tabs>
          <w:tab w:val="left" w:pos="1134"/>
        </w:tabs>
        <w:autoSpaceDE w:val="0"/>
        <w:autoSpaceDN w:val="0"/>
        <w:adjustRightInd w:val="0"/>
        <w:ind w:left="0" w:firstLine="709"/>
        <w:jc w:val="both"/>
        <w:rPr>
          <w:rFonts w:eastAsiaTheme="minorHAnsi"/>
          <w:sz w:val="28"/>
          <w:szCs w:val="28"/>
          <w:lang w:eastAsia="en-US"/>
        </w:rPr>
      </w:pPr>
      <w:bookmarkStart w:id="1" w:name="sub_3"/>
      <w:r w:rsidRPr="00EE3831">
        <w:rPr>
          <w:rFonts w:eastAsiaTheme="minorHAnsi"/>
          <w:sz w:val="28"/>
          <w:szCs w:val="28"/>
          <w:lang w:eastAsia="en-US"/>
        </w:rPr>
        <w:lastRenderedPageBreak/>
        <w:t>Финансирование расходов по предоставлению</w:t>
      </w:r>
      <w:r w:rsidR="002348D6">
        <w:rPr>
          <w:rFonts w:eastAsiaTheme="minorHAnsi"/>
          <w:sz w:val="28"/>
          <w:szCs w:val="28"/>
          <w:lang w:eastAsia="en-US"/>
        </w:rPr>
        <w:t xml:space="preserve"> </w:t>
      </w:r>
      <w:r w:rsidR="002348D6" w:rsidRPr="00FA3A54">
        <w:rPr>
          <w:sz w:val="28"/>
          <w:szCs w:val="28"/>
        </w:rPr>
        <w:t>единовременных</w:t>
      </w:r>
      <w:r w:rsidRPr="00EE3831">
        <w:rPr>
          <w:rFonts w:eastAsiaTheme="minorHAnsi"/>
          <w:sz w:val="28"/>
          <w:szCs w:val="28"/>
          <w:lang w:eastAsia="en-US"/>
        </w:rPr>
        <w:t xml:space="preserve"> </w:t>
      </w:r>
      <w:r>
        <w:rPr>
          <w:rFonts w:eastAsiaTheme="minorHAnsi"/>
          <w:sz w:val="28"/>
          <w:szCs w:val="28"/>
          <w:lang w:eastAsia="en-US"/>
        </w:rPr>
        <w:t xml:space="preserve">именных </w:t>
      </w:r>
      <w:r w:rsidR="002348D6" w:rsidRPr="000F56A0">
        <w:rPr>
          <w:sz w:val="28"/>
          <w:szCs w:val="28"/>
        </w:rPr>
        <w:t>денежных</w:t>
      </w:r>
      <w:r w:rsidR="002348D6">
        <w:rPr>
          <w:rFonts w:eastAsiaTheme="minorHAnsi"/>
          <w:sz w:val="28"/>
          <w:szCs w:val="28"/>
          <w:lang w:eastAsia="en-US"/>
        </w:rPr>
        <w:t xml:space="preserve"> выплат</w:t>
      </w:r>
      <w:r>
        <w:rPr>
          <w:rFonts w:eastAsiaTheme="minorHAnsi"/>
          <w:sz w:val="28"/>
          <w:szCs w:val="28"/>
          <w:lang w:eastAsia="en-US"/>
        </w:rPr>
        <w:t xml:space="preserve"> главы города Барнаула студентам, аспирантам, докторантам </w:t>
      </w:r>
      <w:r w:rsidRPr="00EE3831">
        <w:rPr>
          <w:rFonts w:eastAsiaTheme="minorHAnsi"/>
          <w:sz w:val="28"/>
          <w:szCs w:val="28"/>
          <w:lang w:eastAsia="en-US"/>
        </w:rPr>
        <w:t>является расходным обязательством городского округа - города Барнаула Алтайского края</w:t>
      </w:r>
      <w:r w:rsidR="001327CF">
        <w:rPr>
          <w:rFonts w:eastAsiaTheme="minorHAnsi"/>
          <w:sz w:val="28"/>
          <w:szCs w:val="28"/>
          <w:lang w:eastAsia="en-US"/>
        </w:rPr>
        <w:t xml:space="preserve"> и осуществляется в пределах средств бюджета города, предусмотренных </w:t>
      </w:r>
      <w:r w:rsidR="00607491">
        <w:rPr>
          <w:rFonts w:eastAsiaTheme="minorHAnsi"/>
          <w:sz w:val="28"/>
          <w:szCs w:val="28"/>
          <w:lang w:eastAsia="en-US"/>
        </w:rPr>
        <w:t xml:space="preserve">на эти цели </w:t>
      </w:r>
      <w:r w:rsidR="001327CF">
        <w:rPr>
          <w:rFonts w:eastAsiaTheme="minorHAnsi"/>
          <w:sz w:val="28"/>
          <w:szCs w:val="28"/>
          <w:lang w:eastAsia="en-US"/>
        </w:rPr>
        <w:t>на соответствующий финансовый год</w:t>
      </w:r>
      <w:r w:rsidRPr="00EE3831">
        <w:rPr>
          <w:rFonts w:eastAsiaTheme="minorHAnsi"/>
          <w:sz w:val="28"/>
          <w:szCs w:val="28"/>
          <w:lang w:eastAsia="en-US"/>
        </w:rPr>
        <w:t>.</w:t>
      </w:r>
    </w:p>
    <w:p w:rsidR="00E27BE2" w:rsidRDefault="00E27BE2" w:rsidP="001327CF">
      <w:pPr>
        <w:numPr>
          <w:ilvl w:val="0"/>
          <w:numId w:val="3"/>
        </w:numPr>
        <w:tabs>
          <w:tab w:val="left" w:pos="1134"/>
        </w:tabs>
        <w:ind w:left="0" w:firstLine="709"/>
        <w:jc w:val="both"/>
        <w:rPr>
          <w:sz w:val="28"/>
          <w:szCs w:val="28"/>
        </w:rPr>
      </w:pPr>
      <w:r>
        <w:rPr>
          <w:sz w:val="28"/>
          <w:szCs w:val="28"/>
        </w:rPr>
        <w:t>Пресс-центру (Павлинова Ю.С.) опубликовать решение в газете «Вечерний Барнаул» и разм</w:t>
      </w:r>
      <w:r w:rsidR="00E1026F">
        <w:rPr>
          <w:sz w:val="28"/>
          <w:szCs w:val="28"/>
        </w:rPr>
        <w:t>естить на официальном Интернет-</w:t>
      </w:r>
      <w:r>
        <w:rPr>
          <w:sz w:val="28"/>
          <w:szCs w:val="28"/>
        </w:rPr>
        <w:t>сайте города Барнаула.</w:t>
      </w:r>
    </w:p>
    <w:p w:rsidR="00E27BE2" w:rsidRDefault="00E27BE2" w:rsidP="001327CF">
      <w:pPr>
        <w:numPr>
          <w:ilvl w:val="0"/>
          <w:numId w:val="3"/>
        </w:numPr>
        <w:tabs>
          <w:tab w:val="left" w:pos="1134"/>
        </w:tabs>
        <w:autoSpaceDE w:val="0"/>
        <w:autoSpaceDN w:val="0"/>
        <w:adjustRightInd w:val="0"/>
        <w:ind w:left="0" w:firstLine="709"/>
        <w:jc w:val="both"/>
        <w:rPr>
          <w:sz w:val="28"/>
          <w:szCs w:val="28"/>
        </w:rPr>
      </w:pPr>
      <w:r>
        <w:rPr>
          <w:sz w:val="28"/>
          <w:szCs w:val="28"/>
        </w:rPr>
        <w:t>Контроль за исполнением решения возложить на комитет по социальной политике (Ермоленко</w:t>
      </w:r>
      <w:r w:rsidRPr="00F85B1F">
        <w:rPr>
          <w:sz w:val="28"/>
          <w:szCs w:val="28"/>
        </w:rPr>
        <w:t xml:space="preserve"> </w:t>
      </w:r>
      <w:r>
        <w:rPr>
          <w:sz w:val="28"/>
          <w:szCs w:val="28"/>
        </w:rPr>
        <w:t>М.В.).</w:t>
      </w:r>
    </w:p>
    <w:p w:rsidR="00E27BE2" w:rsidRDefault="00E27BE2" w:rsidP="00E27BE2">
      <w:pPr>
        <w:autoSpaceDE w:val="0"/>
        <w:autoSpaceDN w:val="0"/>
        <w:adjustRightInd w:val="0"/>
        <w:jc w:val="both"/>
        <w:rPr>
          <w:sz w:val="28"/>
          <w:szCs w:val="28"/>
        </w:rPr>
      </w:pPr>
    </w:p>
    <w:p w:rsidR="00E27BE2" w:rsidRDefault="00E27BE2" w:rsidP="00E27BE2">
      <w:pPr>
        <w:autoSpaceDE w:val="0"/>
        <w:autoSpaceDN w:val="0"/>
        <w:adjustRightInd w:val="0"/>
        <w:jc w:val="both"/>
        <w:rPr>
          <w:sz w:val="28"/>
          <w:szCs w:val="28"/>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34"/>
        <w:gridCol w:w="4394"/>
      </w:tblGrid>
      <w:tr w:rsidR="001327CF" w:rsidTr="007D19ED">
        <w:tc>
          <w:tcPr>
            <w:tcW w:w="3936" w:type="dxa"/>
          </w:tcPr>
          <w:p w:rsidR="001327CF" w:rsidRDefault="001327CF" w:rsidP="00E27BE2">
            <w:pPr>
              <w:autoSpaceDE w:val="0"/>
              <w:autoSpaceDN w:val="0"/>
              <w:adjustRightInd w:val="0"/>
              <w:jc w:val="both"/>
              <w:rPr>
                <w:sz w:val="28"/>
                <w:szCs w:val="28"/>
              </w:rPr>
            </w:pPr>
            <w:r>
              <w:rPr>
                <w:sz w:val="28"/>
                <w:szCs w:val="28"/>
              </w:rPr>
              <w:t>Председатель городской Думы</w:t>
            </w:r>
          </w:p>
        </w:tc>
        <w:tc>
          <w:tcPr>
            <w:tcW w:w="1134" w:type="dxa"/>
          </w:tcPr>
          <w:p w:rsidR="001327CF" w:rsidRDefault="001327CF" w:rsidP="00E27BE2">
            <w:pPr>
              <w:autoSpaceDE w:val="0"/>
              <w:autoSpaceDN w:val="0"/>
              <w:adjustRightInd w:val="0"/>
              <w:jc w:val="both"/>
              <w:rPr>
                <w:sz w:val="28"/>
                <w:szCs w:val="28"/>
              </w:rPr>
            </w:pPr>
          </w:p>
        </w:tc>
        <w:tc>
          <w:tcPr>
            <w:tcW w:w="4394" w:type="dxa"/>
          </w:tcPr>
          <w:p w:rsidR="001327CF" w:rsidRDefault="001327CF" w:rsidP="00E27BE2">
            <w:pPr>
              <w:autoSpaceDE w:val="0"/>
              <w:autoSpaceDN w:val="0"/>
              <w:adjustRightInd w:val="0"/>
              <w:jc w:val="both"/>
              <w:rPr>
                <w:sz w:val="28"/>
                <w:szCs w:val="28"/>
              </w:rPr>
            </w:pPr>
            <w:r>
              <w:rPr>
                <w:sz w:val="28"/>
                <w:szCs w:val="28"/>
              </w:rPr>
              <w:t>Глава города</w:t>
            </w:r>
          </w:p>
        </w:tc>
      </w:tr>
      <w:tr w:rsidR="001327CF" w:rsidTr="007D19ED">
        <w:tc>
          <w:tcPr>
            <w:tcW w:w="3936" w:type="dxa"/>
          </w:tcPr>
          <w:p w:rsidR="001327CF" w:rsidRDefault="001327CF" w:rsidP="001327CF">
            <w:pPr>
              <w:autoSpaceDE w:val="0"/>
              <w:autoSpaceDN w:val="0"/>
              <w:adjustRightInd w:val="0"/>
              <w:jc w:val="right"/>
              <w:rPr>
                <w:sz w:val="28"/>
                <w:szCs w:val="28"/>
              </w:rPr>
            </w:pPr>
          </w:p>
          <w:p w:rsidR="001327CF" w:rsidRDefault="001327CF" w:rsidP="001327CF">
            <w:pPr>
              <w:autoSpaceDE w:val="0"/>
              <w:autoSpaceDN w:val="0"/>
              <w:adjustRightInd w:val="0"/>
              <w:jc w:val="right"/>
              <w:rPr>
                <w:sz w:val="28"/>
                <w:szCs w:val="28"/>
              </w:rPr>
            </w:pPr>
            <w:r>
              <w:rPr>
                <w:sz w:val="28"/>
                <w:szCs w:val="28"/>
              </w:rPr>
              <w:t>Г.А. Буевич</w:t>
            </w:r>
          </w:p>
        </w:tc>
        <w:tc>
          <w:tcPr>
            <w:tcW w:w="1134" w:type="dxa"/>
          </w:tcPr>
          <w:p w:rsidR="001327CF" w:rsidRDefault="001327CF" w:rsidP="001327CF">
            <w:pPr>
              <w:autoSpaceDE w:val="0"/>
              <w:autoSpaceDN w:val="0"/>
              <w:adjustRightInd w:val="0"/>
              <w:jc w:val="right"/>
              <w:rPr>
                <w:sz w:val="28"/>
                <w:szCs w:val="28"/>
              </w:rPr>
            </w:pPr>
          </w:p>
        </w:tc>
        <w:tc>
          <w:tcPr>
            <w:tcW w:w="4394" w:type="dxa"/>
          </w:tcPr>
          <w:p w:rsidR="00B33FB8" w:rsidRDefault="00B33FB8" w:rsidP="00B33FB8">
            <w:pPr>
              <w:autoSpaceDE w:val="0"/>
              <w:autoSpaceDN w:val="0"/>
              <w:adjustRightInd w:val="0"/>
              <w:rPr>
                <w:sz w:val="28"/>
                <w:szCs w:val="28"/>
              </w:rPr>
            </w:pPr>
          </w:p>
          <w:p w:rsidR="001327CF" w:rsidRDefault="00B6362D" w:rsidP="00617CD8">
            <w:pPr>
              <w:autoSpaceDE w:val="0"/>
              <w:autoSpaceDN w:val="0"/>
              <w:adjustRightInd w:val="0"/>
              <w:ind w:right="-108"/>
              <w:rPr>
                <w:sz w:val="28"/>
                <w:szCs w:val="28"/>
              </w:rPr>
            </w:pPr>
            <w:r>
              <w:rPr>
                <w:sz w:val="28"/>
                <w:szCs w:val="28"/>
              </w:rPr>
              <w:t xml:space="preserve">                                 </w:t>
            </w:r>
            <w:r w:rsidR="00617CD8">
              <w:rPr>
                <w:sz w:val="28"/>
                <w:szCs w:val="28"/>
              </w:rPr>
              <w:t xml:space="preserve">       </w:t>
            </w:r>
            <w:r>
              <w:rPr>
                <w:sz w:val="28"/>
                <w:szCs w:val="28"/>
              </w:rPr>
              <w:t xml:space="preserve"> </w:t>
            </w:r>
            <w:r w:rsidR="001327CF">
              <w:rPr>
                <w:sz w:val="28"/>
                <w:szCs w:val="28"/>
              </w:rPr>
              <w:t>С.И. Дугин</w:t>
            </w:r>
          </w:p>
        </w:tc>
      </w:tr>
    </w:tbl>
    <w:p w:rsidR="001327CF" w:rsidRDefault="001327CF" w:rsidP="00E27BE2">
      <w:pPr>
        <w:autoSpaceDE w:val="0"/>
        <w:autoSpaceDN w:val="0"/>
        <w:adjustRightInd w:val="0"/>
        <w:jc w:val="both"/>
        <w:rPr>
          <w:sz w:val="28"/>
          <w:szCs w:val="28"/>
        </w:rPr>
      </w:pPr>
    </w:p>
    <w:p w:rsidR="00E27BE2" w:rsidRDefault="00E27BE2" w:rsidP="00E27BE2">
      <w:pPr>
        <w:autoSpaceDE w:val="0"/>
        <w:autoSpaceDN w:val="0"/>
        <w:adjustRightInd w:val="0"/>
        <w:jc w:val="both"/>
        <w:rPr>
          <w:sz w:val="28"/>
          <w:szCs w:val="28"/>
        </w:rPr>
      </w:pPr>
      <w:r>
        <w:rPr>
          <w:sz w:val="28"/>
          <w:szCs w:val="28"/>
        </w:rPr>
        <w:t xml:space="preserve">                       </w:t>
      </w:r>
      <w:r w:rsidR="00D745B8" w:rsidRPr="00D745B8">
        <w:rPr>
          <w:sz w:val="28"/>
          <w:szCs w:val="28"/>
        </w:rPr>
        <w:t xml:space="preserve">                                  </w:t>
      </w:r>
      <w:r>
        <w:rPr>
          <w:sz w:val="28"/>
          <w:szCs w:val="28"/>
        </w:rPr>
        <w:t xml:space="preserve"> </w:t>
      </w:r>
      <w:r>
        <w:rPr>
          <w:sz w:val="28"/>
          <w:szCs w:val="28"/>
        </w:rPr>
        <w:tab/>
      </w:r>
      <w:r>
        <w:rPr>
          <w:sz w:val="28"/>
          <w:szCs w:val="28"/>
        </w:rPr>
        <w:tab/>
      </w:r>
      <w:r>
        <w:rPr>
          <w:sz w:val="28"/>
          <w:szCs w:val="28"/>
        </w:rPr>
        <w:tab/>
      </w:r>
    </w:p>
    <w:p w:rsidR="00E27BE2" w:rsidRDefault="00E27BE2" w:rsidP="00E27BE2">
      <w:pPr>
        <w:autoSpaceDE w:val="0"/>
        <w:autoSpaceDN w:val="0"/>
        <w:adjustRightInd w:val="0"/>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p>
    <w:bookmarkEnd w:id="1"/>
    <w:p w:rsidR="00E27BE2" w:rsidRPr="00EE3831" w:rsidRDefault="00E27BE2" w:rsidP="00E27BE2">
      <w:pPr>
        <w:pStyle w:val="a7"/>
        <w:tabs>
          <w:tab w:val="left" w:pos="1134"/>
        </w:tabs>
        <w:autoSpaceDE w:val="0"/>
        <w:autoSpaceDN w:val="0"/>
        <w:adjustRightInd w:val="0"/>
        <w:ind w:left="709"/>
        <w:jc w:val="both"/>
        <w:rPr>
          <w:rFonts w:eastAsiaTheme="minorHAnsi"/>
          <w:sz w:val="28"/>
          <w:szCs w:val="28"/>
          <w:lang w:eastAsia="en-US"/>
        </w:rPr>
      </w:pPr>
    </w:p>
    <w:sectPr w:rsidR="00E27BE2" w:rsidRPr="00EE3831" w:rsidSect="00E1026F">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84" w:rsidRDefault="00EE0084" w:rsidP="003A2B93">
      <w:r>
        <w:separator/>
      </w:r>
    </w:p>
  </w:endnote>
  <w:endnote w:type="continuationSeparator" w:id="0">
    <w:p w:rsidR="00EE0084" w:rsidRDefault="00EE0084" w:rsidP="003A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84" w:rsidRDefault="00EE0084" w:rsidP="003A2B93">
      <w:r>
        <w:separator/>
      </w:r>
    </w:p>
  </w:footnote>
  <w:footnote w:type="continuationSeparator" w:id="0">
    <w:p w:rsidR="00EE0084" w:rsidRDefault="00EE0084" w:rsidP="003A2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383701"/>
      <w:docPartObj>
        <w:docPartGallery w:val="Page Numbers (Top of Page)"/>
        <w:docPartUnique/>
      </w:docPartObj>
    </w:sdtPr>
    <w:sdtEndPr/>
    <w:sdtContent>
      <w:p w:rsidR="003A2B93" w:rsidRDefault="003A2B93">
        <w:pPr>
          <w:pStyle w:val="ab"/>
          <w:jc w:val="right"/>
        </w:pPr>
        <w:r>
          <w:fldChar w:fldCharType="begin"/>
        </w:r>
        <w:r>
          <w:instrText>PAGE   \* MERGEFORMAT</w:instrText>
        </w:r>
        <w:r>
          <w:fldChar w:fldCharType="separate"/>
        </w:r>
        <w:r w:rsidR="00A91BB9">
          <w:rPr>
            <w:noProof/>
          </w:rPr>
          <w:t>2</w:t>
        </w:r>
        <w:r>
          <w:fldChar w:fldCharType="end"/>
        </w:r>
      </w:p>
    </w:sdtContent>
  </w:sdt>
  <w:p w:rsidR="003A2B93" w:rsidRDefault="003A2B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065D1"/>
    <w:multiLevelType w:val="multilevel"/>
    <w:tmpl w:val="8272D9B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8A335B9"/>
    <w:multiLevelType w:val="multilevel"/>
    <w:tmpl w:val="0E842D66"/>
    <w:lvl w:ilvl="0">
      <w:start w:val="1"/>
      <w:numFmt w:val="decimal"/>
      <w:lvlText w:val="%1."/>
      <w:lvlJc w:val="left"/>
      <w:pPr>
        <w:ind w:left="1819" w:hanging="111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05B320D"/>
    <w:multiLevelType w:val="multilevel"/>
    <w:tmpl w:val="8F94C6A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29"/>
    <w:rsid w:val="000A0E83"/>
    <w:rsid w:val="000F56A0"/>
    <w:rsid w:val="001327CF"/>
    <w:rsid w:val="002348D6"/>
    <w:rsid w:val="003A2B93"/>
    <w:rsid w:val="003A4007"/>
    <w:rsid w:val="003C00FC"/>
    <w:rsid w:val="003E5684"/>
    <w:rsid w:val="00474AD0"/>
    <w:rsid w:val="004C10DC"/>
    <w:rsid w:val="00525BB1"/>
    <w:rsid w:val="0060393D"/>
    <w:rsid w:val="00607491"/>
    <w:rsid w:val="00617CD8"/>
    <w:rsid w:val="0062644C"/>
    <w:rsid w:val="007B2E96"/>
    <w:rsid w:val="007D19ED"/>
    <w:rsid w:val="0081025D"/>
    <w:rsid w:val="00810360"/>
    <w:rsid w:val="00853329"/>
    <w:rsid w:val="008908CE"/>
    <w:rsid w:val="0089277F"/>
    <w:rsid w:val="008A0CDF"/>
    <w:rsid w:val="008E43D1"/>
    <w:rsid w:val="009314D4"/>
    <w:rsid w:val="00936633"/>
    <w:rsid w:val="00A2015E"/>
    <w:rsid w:val="00A23BDD"/>
    <w:rsid w:val="00A86369"/>
    <w:rsid w:val="00A91BB9"/>
    <w:rsid w:val="00B33FB8"/>
    <w:rsid w:val="00B37E86"/>
    <w:rsid w:val="00B6362D"/>
    <w:rsid w:val="00BC06C0"/>
    <w:rsid w:val="00BE3D24"/>
    <w:rsid w:val="00C359DE"/>
    <w:rsid w:val="00C64709"/>
    <w:rsid w:val="00C85A23"/>
    <w:rsid w:val="00D06F22"/>
    <w:rsid w:val="00D148F3"/>
    <w:rsid w:val="00D43FA5"/>
    <w:rsid w:val="00D745B8"/>
    <w:rsid w:val="00D82A90"/>
    <w:rsid w:val="00D969B9"/>
    <w:rsid w:val="00DD6E37"/>
    <w:rsid w:val="00E1026F"/>
    <w:rsid w:val="00E27BE2"/>
    <w:rsid w:val="00EE0084"/>
    <w:rsid w:val="00EE3831"/>
    <w:rsid w:val="00F74FE3"/>
    <w:rsid w:val="00FA3A54"/>
    <w:rsid w:val="00FB5FC8"/>
    <w:rsid w:val="00FC1D03"/>
    <w:rsid w:val="00FE6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6EE75-7478-48FE-A421-5146FAD5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3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332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329"/>
    <w:rPr>
      <w:rFonts w:ascii="Times New Roman" w:eastAsia="Times New Roman" w:hAnsi="Times New Roman" w:cs="Times New Roman"/>
      <w:sz w:val="28"/>
      <w:szCs w:val="24"/>
      <w:lang w:eastAsia="ru-RU"/>
    </w:rPr>
  </w:style>
  <w:style w:type="paragraph" w:styleId="a3">
    <w:name w:val="Body Text"/>
    <w:basedOn w:val="a"/>
    <w:link w:val="a4"/>
    <w:rsid w:val="00853329"/>
    <w:pPr>
      <w:jc w:val="both"/>
    </w:pPr>
    <w:rPr>
      <w:sz w:val="28"/>
    </w:rPr>
  </w:style>
  <w:style w:type="character" w:customStyle="1" w:styleId="a4">
    <w:name w:val="Основной текст Знак"/>
    <w:basedOn w:val="a0"/>
    <w:link w:val="a3"/>
    <w:rsid w:val="00853329"/>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853329"/>
    <w:rPr>
      <w:rFonts w:ascii="Tahoma" w:hAnsi="Tahoma" w:cs="Tahoma"/>
      <w:sz w:val="16"/>
      <w:szCs w:val="16"/>
    </w:rPr>
  </w:style>
  <w:style w:type="character" w:customStyle="1" w:styleId="a6">
    <w:name w:val="Текст выноски Знак"/>
    <w:basedOn w:val="a0"/>
    <w:link w:val="a5"/>
    <w:uiPriority w:val="99"/>
    <w:semiHidden/>
    <w:rsid w:val="00853329"/>
    <w:rPr>
      <w:rFonts w:ascii="Tahoma" w:eastAsia="Times New Roman" w:hAnsi="Tahoma" w:cs="Tahoma"/>
      <w:sz w:val="16"/>
      <w:szCs w:val="16"/>
      <w:lang w:eastAsia="ru-RU"/>
    </w:rPr>
  </w:style>
  <w:style w:type="paragraph" w:styleId="a7">
    <w:name w:val="List Paragraph"/>
    <w:basedOn w:val="a"/>
    <w:uiPriority w:val="34"/>
    <w:qFormat/>
    <w:rsid w:val="00FE6047"/>
    <w:pPr>
      <w:ind w:left="720"/>
      <w:contextualSpacing/>
    </w:pPr>
  </w:style>
  <w:style w:type="paragraph" w:styleId="a8">
    <w:name w:val="Body Text Indent"/>
    <w:basedOn w:val="a"/>
    <w:link w:val="a9"/>
    <w:uiPriority w:val="99"/>
    <w:semiHidden/>
    <w:unhideWhenUsed/>
    <w:rsid w:val="004C10DC"/>
    <w:pPr>
      <w:spacing w:after="120"/>
      <w:ind w:left="283"/>
    </w:pPr>
  </w:style>
  <w:style w:type="character" w:customStyle="1" w:styleId="a9">
    <w:name w:val="Основной текст с отступом Знак"/>
    <w:basedOn w:val="a0"/>
    <w:link w:val="a8"/>
    <w:uiPriority w:val="99"/>
    <w:semiHidden/>
    <w:rsid w:val="004C10DC"/>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EE3831"/>
    <w:rPr>
      <w:color w:val="106BBE"/>
    </w:rPr>
  </w:style>
  <w:style w:type="paragraph" w:styleId="ab">
    <w:name w:val="header"/>
    <w:basedOn w:val="a"/>
    <w:link w:val="ac"/>
    <w:uiPriority w:val="99"/>
    <w:unhideWhenUsed/>
    <w:rsid w:val="003A2B93"/>
    <w:pPr>
      <w:tabs>
        <w:tab w:val="center" w:pos="4677"/>
        <w:tab w:val="right" w:pos="9355"/>
      </w:tabs>
    </w:pPr>
  </w:style>
  <w:style w:type="character" w:customStyle="1" w:styleId="ac">
    <w:name w:val="Верхний колонтитул Знак"/>
    <w:basedOn w:val="a0"/>
    <w:link w:val="ab"/>
    <w:uiPriority w:val="99"/>
    <w:rsid w:val="003A2B9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A2B93"/>
    <w:pPr>
      <w:tabs>
        <w:tab w:val="center" w:pos="4677"/>
        <w:tab w:val="right" w:pos="9355"/>
      </w:tabs>
    </w:pPr>
  </w:style>
  <w:style w:type="character" w:customStyle="1" w:styleId="ae">
    <w:name w:val="Нижний колонтитул Знак"/>
    <w:basedOn w:val="a0"/>
    <w:link w:val="ad"/>
    <w:uiPriority w:val="99"/>
    <w:rsid w:val="003A2B93"/>
    <w:rPr>
      <w:rFonts w:ascii="Times New Roman" w:eastAsia="Times New Roman" w:hAnsi="Times New Roman" w:cs="Times New Roman"/>
      <w:sz w:val="24"/>
      <w:szCs w:val="24"/>
      <w:lang w:eastAsia="ru-RU"/>
    </w:rPr>
  </w:style>
  <w:style w:type="table" w:styleId="af">
    <w:name w:val="Table Grid"/>
    <w:basedOn w:val="a1"/>
    <w:uiPriority w:val="59"/>
    <w:rsid w:val="0013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Александровна Решетникова</dc:creator>
  <cp:lastModifiedBy>Алена И. Бычкова</cp:lastModifiedBy>
  <cp:revision>48</cp:revision>
  <dcterms:created xsi:type="dcterms:W3CDTF">2018-11-01T09:13:00Z</dcterms:created>
  <dcterms:modified xsi:type="dcterms:W3CDTF">2018-11-08T05:44:00Z</dcterms:modified>
</cp:coreProperties>
</file>