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951B36">
        <w:rPr>
          <w:b/>
          <w:sz w:val="24"/>
          <w:szCs w:val="24"/>
        </w:rPr>
        <w:t xml:space="preserve">июль </w:t>
      </w:r>
      <w:r>
        <w:rPr>
          <w:b/>
          <w:sz w:val="24"/>
          <w:szCs w:val="24"/>
        </w:rPr>
        <w:t>2020</w:t>
      </w:r>
      <w:r w:rsidRPr="00755462">
        <w:rPr>
          <w:b/>
          <w:sz w:val="24"/>
          <w:szCs w:val="24"/>
        </w:rPr>
        <w:t xml:space="preserve"> года</w:t>
      </w:r>
    </w:p>
    <w:p w:rsidR="00C66892" w:rsidRPr="008139BB" w:rsidRDefault="00C66892" w:rsidP="00E81171">
      <w:pPr>
        <w:spacing w:line="240" w:lineRule="exact"/>
        <w:ind w:left="-709" w:right="-306" w:firstLine="567"/>
        <w:jc w:val="center"/>
        <w:rPr>
          <w:b/>
          <w:sz w:val="16"/>
          <w:szCs w:val="1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951B3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9F10B6">
              <w:rPr>
                <w:spacing w:val="-8"/>
                <w:sz w:val="22"/>
                <w:szCs w:val="22"/>
              </w:rPr>
              <w:t>и</w:t>
            </w:r>
            <w:r w:rsidR="00951B36">
              <w:rPr>
                <w:spacing w:val="-8"/>
                <w:sz w:val="22"/>
                <w:szCs w:val="22"/>
              </w:rPr>
              <w:t>юль</w:t>
            </w:r>
          </w:p>
        </w:tc>
      </w:tr>
      <w:tr w:rsidR="00E81171" w:rsidRPr="00780EBC" w:rsidTr="000B5355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201</w:t>
            </w:r>
            <w:r w:rsidR="00C94541">
              <w:rPr>
                <w:spacing w:val="-4"/>
                <w:sz w:val="22"/>
                <w:szCs w:val="22"/>
              </w:rPr>
              <w:t>9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C94541"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</w:tr>
      <w:tr w:rsidR="000E1F15" w:rsidRPr="00693A73" w:rsidTr="00E840CF">
        <w:trPr>
          <w:trHeight w:val="2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E1F15" w:rsidRPr="006A177B" w:rsidRDefault="00273C3F" w:rsidP="000E1F1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101,6</w:t>
            </w:r>
          </w:p>
        </w:tc>
        <w:tc>
          <w:tcPr>
            <w:tcW w:w="934" w:type="dxa"/>
          </w:tcPr>
          <w:p w:rsidR="000E1F15" w:rsidRPr="006A177B" w:rsidRDefault="00273C3F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97,4</w:t>
            </w:r>
          </w:p>
        </w:tc>
      </w:tr>
      <w:tr w:rsidR="000E1F15" w:rsidRPr="00780EBC" w:rsidTr="00E840CF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E1F15" w:rsidRPr="006A177B" w:rsidRDefault="00273C3F" w:rsidP="00273C3F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273C3F">
              <w:rPr>
                <w:spacing w:val="-4"/>
                <w:sz w:val="24"/>
                <w:szCs w:val="24"/>
              </w:rPr>
              <w:t>255,1</w:t>
            </w:r>
          </w:p>
        </w:tc>
        <w:tc>
          <w:tcPr>
            <w:tcW w:w="934" w:type="dxa"/>
          </w:tcPr>
          <w:p w:rsidR="000E1F15" w:rsidRPr="006A177B" w:rsidRDefault="00273C3F" w:rsidP="0003560E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233,2</w:t>
            </w:r>
          </w:p>
        </w:tc>
      </w:tr>
      <w:tr w:rsidR="000E1F15" w:rsidRPr="00780EBC" w:rsidTr="000B5355">
        <w:trPr>
          <w:trHeight w:val="4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0E1F15" w:rsidRPr="00334891" w:rsidRDefault="0033489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34891">
              <w:rPr>
                <w:spacing w:val="-4"/>
                <w:sz w:val="24"/>
                <w:szCs w:val="24"/>
              </w:rPr>
              <w:t>102,9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E1F15" w:rsidRPr="00334891" w:rsidRDefault="0024223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34891">
              <w:rPr>
                <w:spacing w:val="-4"/>
                <w:sz w:val="24"/>
                <w:szCs w:val="24"/>
              </w:rPr>
              <w:t>103,1</w:t>
            </w:r>
          </w:p>
        </w:tc>
      </w:tr>
      <w:tr w:rsidR="000E1F15" w:rsidRPr="00780EBC" w:rsidTr="00E840CF">
        <w:trPr>
          <w:trHeight w:val="203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0E1F15" w:rsidRPr="00334891" w:rsidRDefault="0033489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34891">
              <w:rPr>
                <w:spacing w:val="-4"/>
                <w:sz w:val="24"/>
                <w:szCs w:val="24"/>
              </w:rPr>
              <w:t>103,2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33489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34891">
              <w:rPr>
                <w:spacing w:val="-4"/>
                <w:sz w:val="24"/>
                <w:szCs w:val="24"/>
              </w:rPr>
              <w:t>105,1</w:t>
            </w:r>
          </w:p>
        </w:tc>
      </w:tr>
      <w:tr w:rsidR="000E1F15" w:rsidRPr="00780EBC" w:rsidTr="00E840CF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E1F15" w:rsidRPr="00334891" w:rsidRDefault="0033489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34891">
              <w:rPr>
                <w:spacing w:val="-4"/>
                <w:sz w:val="24"/>
                <w:szCs w:val="24"/>
              </w:rPr>
              <w:t>101,9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33489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34891">
              <w:rPr>
                <w:spacing w:val="-4"/>
                <w:sz w:val="24"/>
                <w:szCs w:val="24"/>
              </w:rPr>
              <w:t>101,5</w:t>
            </w:r>
          </w:p>
        </w:tc>
      </w:tr>
      <w:tr w:rsidR="000E1F15" w:rsidRPr="00780EBC" w:rsidTr="00E840CF">
        <w:trPr>
          <w:trHeight w:val="231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E1F15" w:rsidRPr="00334891" w:rsidRDefault="0033489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34891">
              <w:rPr>
                <w:spacing w:val="-4"/>
                <w:sz w:val="24"/>
                <w:szCs w:val="24"/>
              </w:rPr>
              <w:t>104,1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33489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34891">
              <w:rPr>
                <w:spacing w:val="-4"/>
                <w:sz w:val="24"/>
                <w:szCs w:val="24"/>
              </w:rPr>
              <w:t>102,4</w:t>
            </w:r>
          </w:p>
        </w:tc>
      </w:tr>
      <w:tr w:rsidR="002E1928" w:rsidRPr="00780EBC" w:rsidTr="000B5355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273C3F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273C3F">
              <w:rPr>
                <w:i/>
                <w:sz w:val="22"/>
                <w:szCs w:val="22"/>
              </w:rPr>
              <w:t>июнь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E1928" w:rsidRPr="006A177B" w:rsidRDefault="00273C3F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10543">
              <w:rPr>
                <w:spacing w:val="-4"/>
                <w:sz w:val="24"/>
                <w:szCs w:val="24"/>
              </w:rPr>
              <w:t>36153</w:t>
            </w:r>
          </w:p>
        </w:tc>
        <w:tc>
          <w:tcPr>
            <w:tcW w:w="934" w:type="dxa"/>
            <w:vAlign w:val="center"/>
          </w:tcPr>
          <w:p w:rsidR="002E1928" w:rsidRPr="006A177B" w:rsidRDefault="00273C3F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10543">
              <w:rPr>
                <w:spacing w:val="-4"/>
                <w:sz w:val="24"/>
                <w:szCs w:val="24"/>
              </w:rPr>
              <w:t>39180</w:t>
            </w:r>
          </w:p>
        </w:tc>
      </w:tr>
      <w:tr w:rsidR="002E1928" w:rsidRPr="00780EBC" w:rsidTr="00E840CF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273C3F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273C3F">
              <w:rPr>
                <w:i/>
                <w:sz w:val="22"/>
                <w:szCs w:val="22"/>
              </w:rPr>
              <w:t>июнь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2E1928" w:rsidRPr="006A177B" w:rsidRDefault="00010543" w:rsidP="0001054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10543">
              <w:rPr>
                <w:spacing w:val="-4"/>
                <w:sz w:val="24"/>
                <w:szCs w:val="24"/>
              </w:rPr>
              <w:t>33640,5</w:t>
            </w:r>
          </w:p>
        </w:tc>
        <w:tc>
          <w:tcPr>
            <w:tcW w:w="934" w:type="dxa"/>
          </w:tcPr>
          <w:p w:rsidR="002E1928" w:rsidRPr="006A177B" w:rsidRDefault="00010543" w:rsidP="00010543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</w:rPr>
            </w:pPr>
            <w:r w:rsidRPr="00F56C7A">
              <w:rPr>
                <w:spacing w:val="-4"/>
                <w:sz w:val="24"/>
                <w:szCs w:val="24"/>
              </w:rPr>
              <w:t>36828</w:t>
            </w:r>
            <w:r w:rsidRPr="00010543">
              <w:rPr>
                <w:spacing w:val="-4"/>
                <w:sz w:val="24"/>
                <w:szCs w:val="24"/>
              </w:rPr>
              <w:t>,7</w:t>
            </w:r>
          </w:p>
        </w:tc>
      </w:tr>
      <w:tr w:rsidR="000E1F15" w:rsidRPr="00780EBC" w:rsidTr="000E1F15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0E1F15" w:rsidRPr="006A177B" w:rsidRDefault="000E1F15" w:rsidP="0001054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0,3</w:t>
            </w:r>
            <w:r w:rsidR="00010543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0E1F15" w:rsidRPr="006A177B" w:rsidRDefault="007A631F" w:rsidP="00B73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1,29</w:t>
            </w:r>
          </w:p>
        </w:tc>
      </w:tr>
      <w:tr w:rsidR="000E1F15" w:rsidRPr="00780EBC" w:rsidTr="000B5355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0E1F15" w:rsidRPr="00562390" w:rsidRDefault="007A631F" w:rsidP="00B73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1,1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F3662E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366100">
        <w:rPr>
          <w:spacing w:val="-4"/>
          <w:sz w:val="24"/>
          <w:szCs w:val="24"/>
        </w:rPr>
        <w:t>97,</w:t>
      </w:r>
      <w:r w:rsidR="00010543">
        <w:rPr>
          <w:spacing w:val="-4"/>
          <w:sz w:val="24"/>
          <w:szCs w:val="24"/>
        </w:rPr>
        <w:t>4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010543">
        <w:rPr>
          <w:spacing w:val="-4"/>
          <w:sz w:val="24"/>
          <w:szCs w:val="24"/>
        </w:rPr>
        <w:t>99,6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010543">
        <w:rPr>
          <w:spacing w:val="-4"/>
          <w:sz w:val="24"/>
          <w:szCs w:val="24"/>
        </w:rPr>
        <w:t>95,8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 w:rsidR="00366100" w:rsidRPr="0003560E">
        <w:rPr>
          <w:spacing w:val="-4"/>
          <w:sz w:val="24"/>
          <w:szCs w:val="24"/>
        </w:rPr>
        <w:t>99,</w:t>
      </w:r>
      <w:r w:rsidR="00010543">
        <w:rPr>
          <w:spacing w:val="-4"/>
          <w:sz w:val="24"/>
          <w:szCs w:val="24"/>
        </w:rPr>
        <w:t>1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, обеспечение электрической энергией, газом и паром</w:t>
      </w:r>
      <w:r w:rsidR="00047324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кондиционирование воздуха – </w:t>
      </w:r>
      <w:r w:rsidR="00366100" w:rsidRPr="0003560E">
        <w:rPr>
          <w:spacing w:val="-4"/>
          <w:sz w:val="24"/>
          <w:szCs w:val="24"/>
        </w:rPr>
        <w:t>85,</w:t>
      </w:r>
      <w:r w:rsidR="00010543">
        <w:rPr>
          <w:spacing w:val="-4"/>
          <w:sz w:val="24"/>
          <w:szCs w:val="24"/>
        </w:rPr>
        <w:t>1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010543">
        <w:rPr>
          <w:spacing w:val="-4"/>
          <w:sz w:val="24"/>
          <w:szCs w:val="24"/>
        </w:rPr>
        <w:t>96,1</w:t>
      </w:r>
      <w:r w:rsidRPr="00DB27B0">
        <w:rPr>
          <w:spacing w:val="-4"/>
          <w:sz w:val="24"/>
          <w:szCs w:val="24"/>
        </w:rPr>
        <w:t xml:space="preserve">%. </w:t>
      </w:r>
    </w:p>
    <w:p w:rsidR="00631D2A" w:rsidRPr="0099287A" w:rsidRDefault="00631D2A" w:rsidP="00F3662E">
      <w:pPr>
        <w:tabs>
          <w:tab w:val="left" w:pos="1512"/>
        </w:tabs>
        <w:ind w:right="-143" w:firstLine="709"/>
        <w:jc w:val="both"/>
        <w:rPr>
          <w:spacing w:val="-4"/>
          <w:sz w:val="10"/>
          <w:szCs w:val="10"/>
        </w:rPr>
      </w:pP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Pr="00DB27B0" w:rsidRDefault="0099475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8219" cy="681486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E81171" w:rsidRDefault="00E81171" w:rsidP="00E81171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="00010543">
        <w:rPr>
          <w:color w:val="000000"/>
          <w:spacing w:val="-4"/>
        </w:rPr>
        <w:t xml:space="preserve">в металлургии </w:t>
      </w:r>
      <w:r w:rsidR="00010543" w:rsidRPr="00E16BBF">
        <w:rPr>
          <w:spacing w:val="-4"/>
        </w:rPr>
        <w:t>(</w:t>
      </w:r>
      <w:r w:rsidR="00010543" w:rsidRPr="001C598F">
        <w:rPr>
          <w:spacing w:val="-4"/>
        </w:rPr>
        <w:t>индекс производства</w:t>
      </w:r>
      <w:r w:rsidR="00010543">
        <w:rPr>
          <w:spacing w:val="-4"/>
        </w:rPr>
        <w:t xml:space="preserve"> – </w:t>
      </w:r>
      <w:r w:rsidR="00010543">
        <w:rPr>
          <w:color w:val="000000"/>
          <w:spacing w:val="-4"/>
        </w:rPr>
        <w:t>153,7</w:t>
      </w:r>
      <w:r w:rsidR="00010543" w:rsidRPr="00B960E8">
        <w:rPr>
          <w:color w:val="000000"/>
          <w:spacing w:val="-4"/>
        </w:rPr>
        <w:t>%</w:t>
      </w:r>
      <w:r w:rsidR="00010543">
        <w:rPr>
          <w:color w:val="000000"/>
          <w:spacing w:val="-4"/>
        </w:rPr>
        <w:t xml:space="preserve">), в </w:t>
      </w:r>
      <w:r w:rsidR="00366100">
        <w:rPr>
          <w:color w:val="000000"/>
          <w:spacing w:val="-4"/>
        </w:rPr>
        <w:t>производстве химических веществ и продуктов (</w:t>
      </w:r>
      <w:r w:rsidR="00010543">
        <w:rPr>
          <w:spacing w:val="-4"/>
        </w:rPr>
        <w:t>153,3</w:t>
      </w:r>
      <w:r w:rsidR="00366100" w:rsidRPr="00B960E8">
        <w:rPr>
          <w:color w:val="000000"/>
          <w:spacing w:val="-4"/>
        </w:rPr>
        <w:t>%</w:t>
      </w:r>
      <w:r w:rsidR="00366100">
        <w:rPr>
          <w:color w:val="000000"/>
          <w:spacing w:val="-4"/>
        </w:rPr>
        <w:t>),</w:t>
      </w:r>
      <w:r w:rsidR="00010543" w:rsidRPr="00010543">
        <w:rPr>
          <w:color w:val="000000"/>
          <w:spacing w:val="-4"/>
        </w:rPr>
        <w:t xml:space="preserve"> </w:t>
      </w:r>
      <w:r w:rsidR="00010543">
        <w:rPr>
          <w:color w:val="000000"/>
          <w:spacing w:val="-4"/>
        </w:rPr>
        <w:t>кожи и изделий из кожи (136,9</w:t>
      </w:r>
      <w:r w:rsidR="00010543" w:rsidRPr="00B960E8">
        <w:rPr>
          <w:color w:val="000000"/>
          <w:spacing w:val="-4"/>
        </w:rPr>
        <w:t>%</w:t>
      </w:r>
      <w:r w:rsidR="00010543">
        <w:rPr>
          <w:color w:val="000000"/>
          <w:spacing w:val="-4"/>
        </w:rPr>
        <w:t>)</w:t>
      </w:r>
      <w:r w:rsidR="00C010BA">
        <w:rPr>
          <w:color w:val="000000"/>
          <w:spacing w:val="-4"/>
        </w:rPr>
        <w:t xml:space="preserve">, </w:t>
      </w:r>
      <w:r w:rsidR="00366100">
        <w:rPr>
          <w:color w:val="000000"/>
          <w:spacing w:val="-4"/>
        </w:rPr>
        <w:t>производстве</w:t>
      </w:r>
      <w:r w:rsidR="00366100" w:rsidRPr="00840701">
        <w:rPr>
          <w:spacing w:val="-4"/>
        </w:rPr>
        <w:t xml:space="preserve"> </w:t>
      </w:r>
      <w:r w:rsidR="00840701" w:rsidRPr="00840701">
        <w:rPr>
          <w:spacing w:val="-4"/>
        </w:rPr>
        <w:t>бумаги и бумажных изделий</w:t>
      </w:r>
      <w:r w:rsidR="00840701" w:rsidRPr="0024235B">
        <w:rPr>
          <w:spacing w:val="-4"/>
        </w:rPr>
        <w:t xml:space="preserve"> </w:t>
      </w:r>
      <w:r w:rsidR="00840701" w:rsidRPr="00840701">
        <w:rPr>
          <w:spacing w:val="-4"/>
        </w:rPr>
        <w:t>(</w:t>
      </w:r>
      <w:r w:rsidR="00010543">
        <w:rPr>
          <w:spacing w:val="-4"/>
        </w:rPr>
        <w:t>130,7</w:t>
      </w:r>
      <w:r w:rsidR="00840701" w:rsidRPr="00507AB0">
        <w:rPr>
          <w:color w:val="000000"/>
          <w:spacing w:val="-4"/>
        </w:rPr>
        <w:t>%</w:t>
      </w:r>
      <w:r w:rsidR="00840701">
        <w:rPr>
          <w:color w:val="000000"/>
          <w:spacing w:val="-4"/>
        </w:rPr>
        <w:t xml:space="preserve">), </w:t>
      </w:r>
      <w:r w:rsidR="00C010BA" w:rsidRPr="0024235B">
        <w:rPr>
          <w:spacing w:val="-4"/>
        </w:rPr>
        <w:t>готовых металлических изделий</w:t>
      </w:r>
      <w:r w:rsidR="00C010BA">
        <w:rPr>
          <w:color w:val="000000"/>
          <w:spacing w:val="-4"/>
        </w:rPr>
        <w:t xml:space="preserve"> (</w:t>
      </w:r>
      <w:r w:rsidR="008450FF">
        <w:rPr>
          <w:spacing w:val="-4"/>
        </w:rPr>
        <w:t>125,1</w:t>
      </w:r>
      <w:r w:rsidR="00C010BA" w:rsidRPr="00507AB0">
        <w:rPr>
          <w:color w:val="000000"/>
          <w:spacing w:val="-4"/>
        </w:rPr>
        <w:t>%</w:t>
      </w:r>
      <w:r w:rsidR="001C598F">
        <w:rPr>
          <w:color w:val="000000"/>
          <w:spacing w:val="-4"/>
        </w:rPr>
        <w:t>)</w:t>
      </w:r>
      <w:r w:rsidR="008450FF">
        <w:rPr>
          <w:color w:val="000000"/>
          <w:spacing w:val="-4"/>
        </w:rPr>
        <w:t>, машин и оборудования</w:t>
      </w:r>
      <w:r w:rsidR="001C598F">
        <w:rPr>
          <w:color w:val="000000"/>
          <w:spacing w:val="-4"/>
        </w:rPr>
        <w:t xml:space="preserve"> </w:t>
      </w:r>
      <w:r w:rsidR="008450FF" w:rsidRPr="00840701">
        <w:rPr>
          <w:spacing w:val="-4"/>
        </w:rPr>
        <w:t>(</w:t>
      </w:r>
      <w:r w:rsidR="008450FF">
        <w:rPr>
          <w:spacing w:val="-4"/>
        </w:rPr>
        <w:t>111,3</w:t>
      </w:r>
      <w:r w:rsidR="008450FF" w:rsidRPr="00507AB0">
        <w:rPr>
          <w:color w:val="000000"/>
          <w:spacing w:val="-4"/>
        </w:rPr>
        <w:t>%</w:t>
      </w:r>
      <w:r w:rsidR="008450FF">
        <w:rPr>
          <w:color w:val="000000"/>
          <w:spacing w:val="-4"/>
        </w:rPr>
        <w:t xml:space="preserve">) </w:t>
      </w:r>
      <w:r>
        <w:rPr>
          <w:color w:val="000000"/>
          <w:spacing w:val="-4"/>
        </w:rPr>
        <w:t>и т.д.</w:t>
      </w:r>
    </w:p>
    <w:p w:rsidR="00E81171" w:rsidRDefault="00E81171" w:rsidP="00F3662E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Pr="00244F3A">
        <w:rPr>
          <w:color w:val="000000"/>
          <w:spacing w:val="-4"/>
        </w:rPr>
        <w:t xml:space="preserve"> прои</w:t>
      </w:r>
      <w:r>
        <w:rPr>
          <w:color w:val="000000"/>
          <w:spacing w:val="-4"/>
        </w:rPr>
        <w:t xml:space="preserve">зводства </w:t>
      </w:r>
      <w:r w:rsidR="00242231" w:rsidRPr="00242231">
        <w:rPr>
          <w:color w:val="000000"/>
          <w:spacing w:val="-4"/>
        </w:rPr>
        <w:t>резиновых и пластмассовых изделий</w:t>
      </w:r>
      <w:r w:rsidR="00242231" w:rsidRPr="00840701">
        <w:rPr>
          <w:color w:val="000000"/>
          <w:spacing w:val="-4"/>
        </w:rPr>
        <w:t xml:space="preserve"> </w:t>
      </w:r>
      <w:r w:rsidR="00242231">
        <w:rPr>
          <w:color w:val="000000"/>
          <w:spacing w:val="-4"/>
        </w:rPr>
        <w:t>(99,8</w:t>
      </w:r>
      <w:r w:rsidR="00242231" w:rsidRPr="008F3EDC">
        <w:rPr>
          <w:spacing w:val="-4"/>
        </w:rPr>
        <w:t>%</w:t>
      </w:r>
      <w:r w:rsidR="00242231" w:rsidRPr="00B03AA9">
        <w:rPr>
          <w:color w:val="000000"/>
          <w:spacing w:val="-4"/>
        </w:rPr>
        <w:t>),</w:t>
      </w:r>
      <w:r w:rsidR="00242231">
        <w:rPr>
          <w:color w:val="000000"/>
          <w:spacing w:val="-4"/>
        </w:rPr>
        <w:t xml:space="preserve"> в </w:t>
      </w:r>
      <w:r w:rsidR="00242231" w:rsidRPr="00EF3F58">
        <w:rPr>
          <w:color w:val="000000"/>
          <w:spacing w:val="-4"/>
        </w:rPr>
        <w:t>ремонте и</w:t>
      </w:r>
      <w:r w:rsidR="00242231" w:rsidRPr="00136D27">
        <w:rPr>
          <w:rFonts w:ascii="Arial Narrow" w:hAnsi="Arial Narrow"/>
        </w:rPr>
        <w:t xml:space="preserve"> </w:t>
      </w:r>
      <w:r w:rsidR="00242231" w:rsidRPr="00242231">
        <w:rPr>
          <w:color w:val="000000"/>
          <w:spacing w:val="-4"/>
        </w:rPr>
        <w:t xml:space="preserve">монтаже машин и оборудования </w:t>
      </w:r>
      <w:r w:rsidR="00242231">
        <w:rPr>
          <w:color w:val="000000"/>
          <w:spacing w:val="-4"/>
        </w:rPr>
        <w:t>(99,2</w:t>
      </w:r>
      <w:r w:rsidR="00242231" w:rsidRPr="00242231">
        <w:rPr>
          <w:color w:val="000000"/>
          <w:spacing w:val="-4"/>
        </w:rPr>
        <w:t>%</w:t>
      </w:r>
      <w:r w:rsidR="00242231" w:rsidRPr="00B03AA9">
        <w:rPr>
          <w:color w:val="000000"/>
          <w:spacing w:val="-4"/>
        </w:rPr>
        <w:t>),</w:t>
      </w:r>
      <w:r w:rsidR="00242231">
        <w:rPr>
          <w:color w:val="000000"/>
          <w:spacing w:val="-4"/>
        </w:rPr>
        <w:t xml:space="preserve"> </w:t>
      </w:r>
      <w:r w:rsidR="00840132">
        <w:rPr>
          <w:color w:val="000000"/>
          <w:spacing w:val="-4"/>
        </w:rPr>
        <w:t>в полиграфической деятельности (97</w:t>
      </w:r>
      <w:r w:rsidR="00840132" w:rsidRPr="00242231">
        <w:rPr>
          <w:color w:val="000000"/>
          <w:spacing w:val="-4"/>
        </w:rPr>
        <w:t>%</w:t>
      </w:r>
      <w:r w:rsidR="00840132">
        <w:rPr>
          <w:color w:val="000000"/>
          <w:spacing w:val="-4"/>
        </w:rPr>
        <w:t xml:space="preserve">), производстве </w:t>
      </w:r>
      <w:r w:rsidR="00242231">
        <w:rPr>
          <w:color w:val="000000"/>
          <w:spacing w:val="-4"/>
        </w:rPr>
        <w:t>одежды (94,6</w:t>
      </w:r>
      <w:r w:rsidR="00242231" w:rsidRPr="00242231">
        <w:rPr>
          <w:color w:val="000000"/>
          <w:spacing w:val="-4"/>
        </w:rPr>
        <w:t>%</w:t>
      </w:r>
      <w:r w:rsidR="00242231" w:rsidRPr="00B03AA9">
        <w:rPr>
          <w:color w:val="000000"/>
          <w:spacing w:val="-4"/>
        </w:rPr>
        <w:t>),</w:t>
      </w:r>
      <w:r w:rsidR="00242231" w:rsidRPr="00840701">
        <w:rPr>
          <w:color w:val="000000"/>
          <w:spacing w:val="-4"/>
        </w:rPr>
        <w:t xml:space="preserve"> </w:t>
      </w:r>
      <w:r w:rsidR="00242231" w:rsidRPr="00242231">
        <w:rPr>
          <w:color w:val="000000"/>
          <w:spacing w:val="-4"/>
        </w:rPr>
        <w:t xml:space="preserve">лекарственных средств и </w:t>
      </w:r>
      <w:r w:rsidR="00840132">
        <w:rPr>
          <w:color w:val="000000"/>
          <w:spacing w:val="-4"/>
        </w:rPr>
        <w:t xml:space="preserve">медицинских </w:t>
      </w:r>
      <w:r w:rsidR="00242231" w:rsidRPr="00242231">
        <w:rPr>
          <w:color w:val="000000"/>
          <w:spacing w:val="-4"/>
        </w:rPr>
        <w:t>материалов</w:t>
      </w:r>
      <w:r w:rsidR="00242231" w:rsidRPr="00840701">
        <w:rPr>
          <w:color w:val="000000"/>
          <w:spacing w:val="-4"/>
        </w:rPr>
        <w:t xml:space="preserve"> </w:t>
      </w:r>
      <w:r w:rsidR="00242231">
        <w:rPr>
          <w:color w:val="000000"/>
          <w:spacing w:val="-4"/>
        </w:rPr>
        <w:t>(90,7</w:t>
      </w:r>
      <w:r w:rsidR="00242231" w:rsidRPr="00B960E8">
        <w:rPr>
          <w:color w:val="000000"/>
          <w:spacing w:val="-4"/>
        </w:rPr>
        <w:t>%</w:t>
      </w:r>
      <w:r w:rsidR="00840132">
        <w:rPr>
          <w:color w:val="000000"/>
          <w:spacing w:val="-4"/>
        </w:rPr>
        <w:t>)</w:t>
      </w:r>
      <w:r w:rsidR="00242231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  <w:r w:rsidR="000B5355" w:rsidRPr="000B5355">
        <w:rPr>
          <w:color w:val="000000"/>
          <w:spacing w:val="-4"/>
        </w:rPr>
        <w:t xml:space="preserve"> </w:t>
      </w:r>
    </w:p>
    <w:p w:rsidR="00F3662E" w:rsidRPr="0099287A" w:rsidRDefault="00F3662E" w:rsidP="00F3662E">
      <w:pPr>
        <w:pStyle w:val="ab"/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 xml:space="preserve">Индексы промышленного производства по районам города, </w:t>
      </w:r>
      <w:r w:rsidR="00603B7D" w:rsidRPr="00DB27B0">
        <w:rPr>
          <w:sz w:val="24"/>
          <w:szCs w:val="24"/>
        </w:rPr>
        <w:t>%</w:t>
      </w:r>
    </w:p>
    <w:p w:rsidR="00E81171" w:rsidRPr="00F706E5" w:rsidRDefault="00F706E5" w:rsidP="00E81171">
      <w:pPr>
        <w:tabs>
          <w:tab w:val="left" w:pos="1512"/>
        </w:tabs>
        <w:ind w:right="-1"/>
        <w:jc w:val="center"/>
        <w:rPr>
          <w:sz w:val="16"/>
          <w:szCs w:val="16"/>
        </w:rPr>
      </w:pPr>
      <w:r w:rsidRPr="00F706E5">
        <w:rPr>
          <w:noProof/>
          <w:sz w:val="24"/>
          <w:szCs w:val="24"/>
          <w:lang w:eastAsia="ru-RU"/>
        </w:rPr>
        <w:drawing>
          <wp:inline distT="0" distB="0" distL="0" distR="0">
            <wp:extent cx="6572250" cy="909955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3EDC" w:rsidRPr="0099287A" w:rsidRDefault="008F3EDC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Default="00E81171" w:rsidP="00693559">
      <w:pPr>
        <w:ind w:firstLine="709"/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>бюджет города поступило</w:t>
      </w:r>
      <w:r w:rsidR="0018659D">
        <w:rPr>
          <w:spacing w:val="-2"/>
          <w:sz w:val="24"/>
          <w:szCs w:val="24"/>
        </w:rPr>
        <w:t xml:space="preserve"> </w:t>
      </w:r>
      <w:r w:rsidR="00334891" w:rsidRPr="00334891">
        <w:rPr>
          <w:spacing w:val="-2"/>
          <w:sz w:val="24"/>
          <w:szCs w:val="24"/>
        </w:rPr>
        <w:t>7743,1</w:t>
      </w:r>
      <w:r w:rsidR="00334891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4D33D2">
        <w:rPr>
          <w:spacing w:val="-2"/>
          <w:sz w:val="24"/>
          <w:szCs w:val="24"/>
        </w:rPr>
        <w:t>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99287A" w:rsidRPr="0099287A">
        <w:rPr>
          <w:spacing w:val="-2"/>
          <w:sz w:val="24"/>
          <w:szCs w:val="24"/>
        </w:rPr>
        <w:t>94</w:t>
      </w:r>
      <w:r w:rsidR="00334891">
        <w:rPr>
          <w:spacing w:val="-2"/>
          <w:sz w:val="24"/>
          <w:szCs w:val="24"/>
        </w:rPr>
        <w:t>,4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4D33D2">
        <w:rPr>
          <w:spacing w:val="-2"/>
          <w:sz w:val="24"/>
          <w:szCs w:val="24"/>
        </w:rPr>
        <w:t xml:space="preserve"> 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334891" w:rsidRPr="00334891">
        <w:rPr>
          <w:spacing w:val="-2"/>
          <w:sz w:val="24"/>
          <w:szCs w:val="24"/>
        </w:rPr>
        <w:t>53,5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334891" w:rsidRPr="00334891">
        <w:rPr>
          <w:spacing w:val="-2"/>
          <w:sz w:val="24"/>
          <w:szCs w:val="24"/>
        </w:rPr>
        <w:t>3934,9</w:t>
      </w:r>
      <w:r w:rsidR="00334891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334891" w:rsidRPr="00334891">
        <w:rPr>
          <w:spacing w:val="-2"/>
          <w:sz w:val="24"/>
          <w:szCs w:val="24"/>
        </w:rPr>
        <w:t>94,7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к январю-</w:t>
      </w:r>
      <w:r w:rsidR="00334891">
        <w:rPr>
          <w:spacing w:val="-2"/>
          <w:sz w:val="24"/>
          <w:szCs w:val="24"/>
        </w:rPr>
        <w:t>июлю</w:t>
      </w:r>
      <w:r w:rsidRPr="00F401E7">
        <w:rPr>
          <w:spacing w:val="-2"/>
          <w:sz w:val="24"/>
          <w:szCs w:val="24"/>
        </w:rPr>
        <w:t xml:space="preserve"> 201</w:t>
      </w:r>
      <w:r w:rsidR="00D53F70">
        <w:rPr>
          <w:spacing w:val="-2"/>
          <w:sz w:val="24"/>
          <w:szCs w:val="24"/>
        </w:rPr>
        <w:t>9</w:t>
      </w:r>
      <w:r w:rsidRPr="00F401E7">
        <w:rPr>
          <w:spacing w:val="-2"/>
          <w:sz w:val="24"/>
          <w:szCs w:val="24"/>
        </w:rPr>
        <w:t xml:space="preserve"> года) или </w:t>
      </w:r>
      <w:r w:rsidR="00334891" w:rsidRPr="00334891">
        <w:rPr>
          <w:spacing w:val="-2"/>
          <w:sz w:val="24"/>
          <w:szCs w:val="24"/>
        </w:rPr>
        <w:t>52,9</w:t>
      </w:r>
      <w:r w:rsidRPr="005C4E82">
        <w:rPr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4C3237" w:rsidRPr="0099287A" w:rsidRDefault="004C3237" w:rsidP="00E81171">
      <w:pPr>
        <w:tabs>
          <w:tab w:val="left" w:pos="1512"/>
        </w:tabs>
        <w:ind w:right="-1" w:firstLine="709"/>
        <w:jc w:val="center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E81171" w:rsidRPr="001C0780" w:rsidRDefault="0099475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1019" cy="819510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171" w:rsidRDefault="00E81171" w:rsidP="009911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9911A8" w:rsidRPr="009911A8">
        <w:rPr>
          <w:sz w:val="24"/>
          <w:szCs w:val="24"/>
        </w:rPr>
        <w:t>7664,1</w:t>
      </w:r>
      <w:r w:rsidR="002B23A0" w:rsidRPr="009911A8">
        <w:rPr>
          <w:sz w:val="24"/>
          <w:szCs w:val="24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201</w:t>
      </w:r>
      <w:r w:rsidR="00B96C1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– </w:t>
      </w:r>
      <w:r w:rsidR="009911A8" w:rsidRPr="009911A8">
        <w:rPr>
          <w:sz w:val="24"/>
          <w:szCs w:val="24"/>
        </w:rPr>
        <w:t>97,6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9911A8">
        <w:rPr>
          <w:sz w:val="24"/>
          <w:szCs w:val="24"/>
        </w:rPr>
        <w:t>47,2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E81171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lastRenderedPageBreak/>
        <w:t xml:space="preserve">Бюджетные инвестиции </w:t>
      </w:r>
    </w:p>
    <w:p w:rsidR="001843FE" w:rsidRDefault="001843FE" w:rsidP="001843F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 w:rsidRPr="001843FE">
        <w:rPr>
          <w:sz w:val="24"/>
          <w:szCs w:val="24"/>
        </w:rPr>
        <w:br/>
      </w:r>
      <w:r w:rsidR="009911A8">
        <w:rPr>
          <w:sz w:val="24"/>
          <w:szCs w:val="24"/>
        </w:rPr>
        <w:t>164,9</w:t>
      </w:r>
      <w:r w:rsidR="004921BB">
        <w:rPr>
          <w:bCs/>
          <w:sz w:val="22"/>
          <w:szCs w:val="22"/>
        </w:rPr>
        <w:t xml:space="preserve"> </w:t>
      </w:r>
      <w:r w:rsidRPr="001843FE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9911A8">
        <w:rPr>
          <w:sz w:val="24"/>
          <w:szCs w:val="24"/>
        </w:rPr>
        <w:t>28,1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(в 2019 году –</w:t>
      </w:r>
      <w:r>
        <w:rPr>
          <w:sz w:val="24"/>
          <w:szCs w:val="24"/>
        </w:rPr>
        <w:t xml:space="preserve"> </w:t>
      </w:r>
      <w:r w:rsidR="009911A8">
        <w:rPr>
          <w:sz w:val="24"/>
          <w:szCs w:val="24"/>
        </w:rPr>
        <w:t>215,2</w:t>
      </w:r>
      <w:r w:rsidR="002B23A0">
        <w:rPr>
          <w:bCs/>
          <w:sz w:val="22"/>
          <w:szCs w:val="22"/>
        </w:rPr>
        <w:t xml:space="preserve"> </w:t>
      </w:r>
      <w:r w:rsidRPr="001843FE">
        <w:rPr>
          <w:sz w:val="24"/>
          <w:szCs w:val="24"/>
        </w:rPr>
        <w:t>млн. рублей</w:t>
      </w:r>
      <w:r w:rsidRPr="001843FE">
        <w:rPr>
          <w:sz w:val="24"/>
          <w:szCs w:val="24"/>
        </w:rPr>
        <w:br/>
        <w:t>и</w:t>
      </w:r>
      <w:r>
        <w:rPr>
          <w:sz w:val="24"/>
          <w:szCs w:val="24"/>
        </w:rPr>
        <w:t xml:space="preserve"> </w:t>
      </w:r>
      <w:r w:rsidR="009911A8">
        <w:rPr>
          <w:sz w:val="24"/>
          <w:szCs w:val="24"/>
        </w:rPr>
        <w:t>41,8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соответственно).</w:t>
      </w:r>
    </w:p>
    <w:p w:rsidR="00F3662E" w:rsidRPr="002B23A0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2B23A0" w:rsidRPr="003E714A" w:rsidRDefault="002B23A0" w:rsidP="003E714A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3E714A">
        <w:rPr>
          <w:sz w:val="24"/>
          <w:szCs w:val="24"/>
        </w:rPr>
        <w:t>За январь-</w:t>
      </w:r>
      <w:r w:rsidR="009911A8">
        <w:rPr>
          <w:sz w:val="24"/>
          <w:szCs w:val="24"/>
        </w:rPr>
        <w:t>июль</w:t>
      </w:r>
      <w:r w:rsidRPr="003E714A">
        <w:rPr>
          <w:sz w:val="24"/>
          <w:szCs w:val="24"/>
        </w:rPr>
        <w:t xml:space="preserve"> 2020 года</w:t>
      </w:r>
      <w:r w:rsidR="003E714A">
        <w:rPr>
          <w:sz w:val="24"/>
          <w:szCs w:val="24"/>
        </w:rPr>
        <w:t xml:space="preserve"> </w:t>
      </w:r>
      <w:proofErr w:type="gramStart"/>
      <w:r w:rsidRPr="003E714A">
        <w:rPr>
          <w:sz w:val="24"/>
          <w:szCs w:val="24"/>
        </w:rPr>
        <w:t>построены</w:t>
      </w:r>
      <w:proofErr w:type="gramEnd"/>
      <w:r w:rsidRPr="003E714A">
        <w:rPr>
          <w:sz w:val="24"/>
          <w:szCs w:val="24"/>
        </w:rPr>
        <w:t xml:space="preserve"> 3</w:t>
      </w:r>
      <w:r w:rsidR="009911A8">
        <w:rPr>
          <w:sz w:val="24"/>
          <w:szCs w:val="24"/>
        </w:rPr>
        <w:t>612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новы</w:t>
      </w:r>
      <w:r w:rsidR="00840132">
        <w:rPr>
          <w:sz w:val="24"/>
          <w:szCs w:val="24"/>
        </w:rPr>
        <w:t>х</w:t>
      </w:r>
      <w:r w:rsidRPr="003E714A">
        <w:rPr>
          <w:sz w:val="24"/>
          <w:szCs w:val="24"/>
        </w:rPr>
        <w:t xml:space="preserve"> квартир. Организациями всех форм собственности и индивидуальными застройщиками введены в действие жилые дома общей площадью</w:t>
      </w:r>
      <w:r w:rsidR="003E714A">
        <w:rPr>
          <w:sz w:val="24"/>
          <w:szCs w:val="24"/>
        </w:rPr>
        <w:t xml:space="preserve"> </w:t>
      </w:r>
      <w:bookmarkStart w:id="0" w:name="_ftnref1"/>
      <w:bookmarkEnd w:id="0"/>
      <w:r w:rsidR="009911A8">
        <w:rPr>
          <w:sz w:val="24"/>
          <w:szCs w:val="24"/>
        </w:rPr>
        <w:t>233,2</w:t>
      </w:r>
      <w:r w:rsidR="003E714A">
        <w:rPr>
          <w:sz w:val="24"/>
          <w:szCs w:val="24"/>
        </w:rPr>
        <w:t xml:space="preserve"> тыс. </w:t>
      </w:r>
      <w:r w:rsidRPr="003E714A">
        <w:rPr>
          <w:sz w:val="24"/>
          <w:szCs w:val="24"/>
        </w:rPr>
        <w:t>кв</w:t>
      </w:r>
      <w:proofErr w:type="gramStart"/>
      <w:r w:rsidRPr="003E714A">
        <w:rPr>
          <w:sz w:val="24"/>
          <w:szCs w:val="24"/>
        </w:rPr>
        <w:t>.м</w:t>
      </w:r>
      <w:proofErr w:type="gramEnd"/>
      <w:r w:rsidR="00082B65">
        <w:rPr>
          <w:sz w:val="24"/>
          <w:szCs w:val="24"/>
        </w:rPr>
        <w:t>етров</w:t>
      </w:r>
      <w:r w:rsidR="003E714A">
        <w:rPr>
          <w:spacing w:val="-6"/>
          <w:sz w:val="24"/>
          <w:szCs w:val="24"/>
        </w:rPr>
        <w:t>,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 xml:space="preserve">что на </w:t>
      </w:r>
      <w:r w:rsidR="009911A8">
        <w:rPr>
          <w:sz w:val="24"/>
          <w:szCs w:val="24"/>
        </w:rPr>
        <w:t>7</w:t>
      </w:r>
      <w:r w:rsidRPr="003E714A">
        <w:rPr>
          <w:sz w:val="24"/>
          <w:szCs w:val="24"/>
        </w:rPr>
        <w:t>,7</w:t>
      </w:r>
      <w:r w:rsidR="00413249" w:rsidRPr="008F3EDC">
        <w:rPr>
          <w:spacing w:val="-4"/>
          <w:sz w:val="24"/>
          <w:szCs w:val="24"/>
        </w:rPr>
        <w:t>%</w:t>
      </w:r>
      <w:r w:rsidRPr="003E714A">
        <w:rPr>
          <w:sz w:val="24"/>
          <w:szCs w:val="24"/>
        </w:rPr>
        <w:t xml:space="preserve"> меньше соответствующего периода прошлого года и составляет </w:t>
      </w:r>
      <w:r w:rsidR="009911A8">
        <w:rPr>
          <w:sz w:val="24"/>
          <w:szCs w:val="24"/>
        </w:rPr>
        <w:t>66,5</w:t>
      </w:r>
      <w:r w:rsidR="00083BD2" w:rsidRPr="003E714A">
        <w:rPr>
          <w:sz w:val="24"/>
          <w:szCs w:val="24"/>
        </w:rPr>
        <w:t>%</w:t>
      </w:r>
      <w:r w:rsidRPr="003E714A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E81171" w:rsidRPr="004C3237" w:rsidRDefault="00E81171" w:rsidP="00E81171">
      <w:pPr>
        <w:tabs>
          <w:tab w:val="left" w:pos="1512"/>
          <w:tab w:val="left" w:pos="7938"/>
        </w:tabs>
        <w:jc w:val="center"/>
        <w:rPr>
          <w:sz w:val="10"/>
          <w:szCs w:val="10"/>
        </w:rPr>
      </w:pPr>
    </w:p>
    <w:p w:rsidR="00E81171" w:rsidRDefault="0099475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599208" cy="871268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D104F0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843FE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E81171" w:rsidRPr="001843FE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1843FE">
        <w:rPr>
          <w:sz w:val="24"/>
          <w:szCs w:val="24"/>
        </w:rPr>
        <w:br/>
      </w:r>
      <w:r w:rsidR="00727653" w:rsidRPr="00727653">
        <w:rPr>
          <w:sz w:val="24"/>
          <w:szCs w:val="24"/>
        </w:rPr>
        <w:t>946</w:t>
      </w:r>
      <w:r w:rsidR="00B763EE" w:rsidRPr="00B763EE">
        <w:rPr>
          <w:sz w:val="24"/>
          <w:szCs w:val="24"/>
        </w:rPr>
        <w:t xml:space="preserve"> заяв</w:t>
      </w:r>
      <w:r w:rsidR="00727653">
        <w:rPr>
          <w:sz w:val="24"/>
          <w:szCs w:val="24"/>
        </w:rPr>
        <w:t>ок</w:t>
      </w:r>
      <w:r w:rsidR="00B763EE" w:rsidRPr="001843F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на закупку товаров, выполнение работ и оказание услуг на сумму </w:t>
      </w:r>
      <w:r w:rsidR="00727653" w:rsidRPr="00727653">
        <w:rPr>
          <w:sz w:val="24"/>
          <w:szCs w:val="24"/>
        </w:rPr>
        <w:t>2565</w:t>
      </w:r>
      <w:r w:rsidR="00B763EE" w:rsidRPr="00B763E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млн. рублей </w:t>
      </w:r>
      <w:r w:rsidR="00B763EE">
        <w:rPr>
          <w:sz w:val="24"/>
          <w:szCs w:val="24"/>
        </w:rPr>
        <w:br/>
      </w:r>
      <w:r w:rsidRPr="001843FE">
        <w:rPr>
          <w:sz w:val="24"/>
          <w:szCs w:val="24"/>
        </w:rPr>
        <w:t>(за январь-</w:t>
      </w:r>
      <w:r w:rsidR="00413249">
        <w:rPr>
          <w:sz w:val="24"/>
          <w:szCs w:val="24"/>
        </w:rPr>
        <w:t>июль</w:t>
      </w:r>
      <w:r w:rsidR="0042482C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>201</w:t>
      </w:r>
      <w:r w:rsidR="00775D70" w:rsidRPr="001843FE">
        <w:rPr>
          <w:sz w:val="24"/>
          <w:szCs w:val="24"/>
        </w:rPr>
        <w:t>9</w:t>
      </w:r>
      <w:r w:rsidRPr="001843FE">
        <w:rPr>
          <w:sz w:val="24"/>
          <w:szCs w:val="24"/>
        </w:rPr>
        <w:t xml:space="preserve"> года – </w:t>
      </w:r>
      <w:r w:rsidR="00727653" w:rsidRPr="00727653">
        <w:rPr>
          <w:sz w:val="24"/>
          <w:szCs w:val="24"/>
        </w:rPr>
        <w:t>935</w:t>
      </w:r>
      <w:r w:rsidR="007F2FDC" w:rsidRPr="007F2FDC">
        <w:rPr>
          <w:sz w:val="24"/>
          <w:szCs w:val="24"/>
        </w:rPr>
        <w:t xml:space="preserve"> заявок</w:t>
      </w:r>
      <w:r w:rsidR="007F2FDC" w:rsidRPr="00B763E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на </w:t>
      </w:r>
      <w:r w:rsidR="00727653" w:rsidRPr="00727653">
        <w:rPr>
          <w:sz w:val="24"/>
          <w:szCs w:val="24"/>
        </w:rPr>
        <w:t xml:space="preserve">3203,9 </w:t>
      </w:r>
      <w:r w:rsidRPr="001843FE">
        <w:rPr>
          <w:sz w:val="24"/>
          <w:szCs w:val="24"/>
        </w:rPr>
        <w:t>млн. рублей соответственно).</w:t>
      </w:r>
    </w:p>
    <w:p w:rsidR="0042482C" w:rsidRPr="0042482C" w:rsidRDefault="007F2FDC" w:rsidP="0042482C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F2FDC">
        <w:rPr>
          <w:sz w:val="24"/>
          <w:szCs w:val="24"/>
        </w:rPr>
        <w:t xml:space="preserve">С начала года на сайте размещено </w:t>
      </w:r>
      <w:r w:rsidR="00727653" w:rsidRPr="00727653">
        <w:rPr>
          <w:sz w:val="24"/>
          <w:szCs w:val="24"/>
        </w:rPr>
        <w:t xml:space="preserve">782 </w:t>
      </w:r>
      <w:r w:rsidR="00B763EE" w:rsidRPr="00B763EE">
        <w:rPr>
          <w:sz w:val="24"/>
          <w:szCs w:val="24"/>
        </w:rPr>
        <w:t xml:space="preserve">заявки </w:t>
      </w:r>
      <w:r w:rsidRPr="007F2FDC">
        <w:rPr>
          <w:sz w:val="24"/>
          <w:szCs w:val="24"/>
        </w:rPr>
        <w:t xml:space="preserve">на сумму </w:t>
      </w:r>
      <w:r w:rsidR="00727653" w:rsidRPr="00727653">
        <w:rPr>
          <w:sz w:val="24"/>
          <w:szCs w:val="24"/>
        </w:rPr>
        <w:t xml:space="preserve">1816,4 </w:t>
      </w:r>
      <w:r w:rsidRPr="007F2FDC">
        <w:rPr>
          <w:sz w:val="24"/>
          <w:szCs w:val="24"/>
        </w:rPr>
        <w:t>млн. рублей. По итогам завершенных процедур подлеж</w:t>
      </w:r>
      <w:r w:rsidR="0007344E">
        <w:rPr>
          <w:sz w:val="24"/>
          <w:szCs w:val="24"/>
        </w:rPr>
        <w:t>а</w:t>
      </w:r>
      <w:r w:rsidRPr="007F2FDC">
        <w:rPr>
          <w:sz w:val="24"/>
          <w:szCs w:val="24"/>
        </w:rPr>
        <w:t xml:space="preserve">т заключению </w:t>
      </w:r>
      <w:r w:rsidR="00B763EE" w:rsidRPr="00B763EE">
        <w:rPr>
          <w:sz w:val="24"/>
          <w:szCs w:val="24"/>
        </w:rPr>
        <w:t xml:space="preserve">626 контрактов </w:t>
      </w:r>
      <w:r w:rsidRPr="007F2FDC">
        <w:rPr>
          <w:sz w:val="24"/>
          <w:szCs w:val="24"/>
        </w:rPr>
        <w:t xml:space="preserve">на сумму </w:t>
      </w:r>
      <w:r w:rsidR="00B763EE" w:rsidRPr="00B763EE">
        <w:rPr>
          <w:sz w:val="24"/>
          <w:szCs w:val="24"/>
        </w:rPr>
        <w:t xml:space="preserve">1423,7 </w:t>
      </w:r>
      <w:r w:rsidRPr="007F2FDC">
        <w:rPr>
          <w:sz w:val="24"/>
          <w:szCs w:val="24"/>
        </w:rPr>
        <w:t xml:space="preserve">млн. рублей, из них заключено </w:t>
      </w:r>
      <w:r w:rsidR="00727653" w:rsidRPr="00727653">
        <w:rPr>
          <w:sz w:val="24"/>
          <w:szCs w:val="24"/>
        </w:rPr>
        <w:t>738</w:t>
      </w:r>
      <w:r w:rsidR="00B763EE" w:rsidRPr="00B763EE">
        <w:rPr>
          <w:sz w:val="24"/>
          <w:szCs w:val="24"/>
        </w:rPr>
        <w:t xml:space="preserve"> контрактов </w:t>
      </w:r>
      <w:r w:rsidRPr="007F2FDC">
        <w:rPr>
          <w:sz w:val="24"/>
          <w:szCs w:val="24"/>
        </w:rPr>
        <w:t xml:space="preserve">на сумму </w:t>
      </w:r>
      <w:r w:rsidR="00727653" w:rsidRPr="00727653">
        <w:rPr>
          <w:sz w:val="24"/>
          <w:szCs w:val="24"/>
        </w:rPr>
        <w:t xml:space="preserve">1635,7 </w:t>
      </w:r>
      <w:r w:rsidRPr="007F2FDC">
        <w:rPr>
          <w:sz w:val="24"/>
          <w:szCs w:val="24"/>
        </w:rPr>
        <w:t xml:space="preserve">млн. рублей. Экономия составила </w:t>
      </w:r>
      <w:r w:rsidR="00727653">
        <w:rPr>
          <w:sz w:val="24"/>
          <w:szCs w:val="24"/>
        </w:rPr>
        <w:t xml:space="preserve">148,7 </w:t>
      </w:r>
      <w:r w:rsidRPr="007F2FDC">
        <w:rPr>
          <w:sz w:val="24"/>
          <w:szCs w:val="24"/>
        </w:rPr>
        <w:t>млн. рублей.</w:t>
      </w:r>
      <w:r w:rsidR="0042482C" w:rsidRPr="0042482C">
        <w:rPr>
          <w:sz w:val="24"/>
          <w:szCs w:val="24"/>
        </w:rPr>
        <w:t xml:space="preserve"> </w:t>
      </w:r>
    </w:p>
    <w:p w:rsidR="001908F8" w:rsidRPr="001A4ACB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4C3237" w:rsidRDefault="004C3237" w:rsidP="004C3237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4C3237" w:rsidRPr="00F33A7B" w:rsidRDefault="004C3237" w:rsidP="00047324">
      <w:pPr>
        <w:ind w:firstLine="708"/>
        <w:jc w:val="both"/>
        <w:rPr>
          <w:sz w:val="24"/>
          <w:szCs w:val="24"/>
        </w:rPr>
      </w:pPr>
      <w:r w:rsidRPr="00F33A7B">
        <w:rPr>
          <w:sz w:val="24"/>
          <w:szCs w:val="24"/>
        </w:rPr>
        <w:t xml:space="preserve">В городе родилось </w:t>
      </w:r>
      <w:r w:rsidR="00727653">
        <w:rPr>
          <w:sz w:val="24"/>
          <w:szCs w:val="24"/>
        </w:rPr>
        <w:t>3159</w:t>
      </w:r>
      <w:r w:rsidRPr="00F33A7B">
        <w:rPr>
          <w:sz w:val="24"/>
          <w:szCs w:val="24"/>
        </w:rPr>
        <w:t xml:space="preserve"> человек (за январь-</w:t>
      </w:r>
      <w:r w:rsidR="00727653">
        <w:rPr>
          <w:sz w:val="24"/>
          <w:szCs w:val="24"/>
        </w:rPr>
        <w:t>июнь</w:t>
      </w:r>
      <w:r w:rsidRPr="00F33A7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F33A7B">
        <w:rPr>
          <w:sz w:val="24"/>
          <w:szCs w:val="24"/>
        </w:rPr>
        <w:t xml:space="preserve"> года – </w:t>
      </w:r>
      <w:r w:rsidR="00727653">
        <w:rPr>
          <w:sz w:val="24"/>
          <w:szCs w:val="24"/>
        </w:rPr>
        <w:t>3464</w:t>
      </w:r>
      <w:r w:rsidRPr="00F33A7B">
        <w:rPr>
          <w:sz w:val="24"/>
          <w:szCs w:val="24"/>
        </w:rPr>
        <w:t xml:space="preserve"> человек</w:t>
      </w:r>
      <w:r w:rsidR="00584F99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045440">
        <w:rPr>
          <w:sz w:val="24"/>
          <w:szCs w:val="24"/>
        </w:rPr>
        <w:br/>
      </w:r>
      <w:r w:rsidR="00727653">
        <w:rPr>
          <w:sz w:val="24"/>
          <w:szCs w:val="24"/>
        </w:rPr>
        <w:t>3980</w:t>
      </w:r>
      <w:r w:rsidRPr="00F33A7B">
        <w:rPr>
          <w:sz w:val="24"/>
          <w:szCs w:val="24"/>
        </w:rPr>
        <w:t xml:space="preserve"> человек (</w:t>
      </w:r>
      <w:r w:rsidR="00727653">
        <w:rPr>
          <w:sz w:val="24"/>
          <w:szCs w:val="24"/>
        </w:rPr>
        <w:t>3998</w:t>
      </w:r>
      <w:r w:rsidRPr="00F33A7B">
        <w:rPr>
          <w:sz w:val="24"/>
          <w:szCs w:val="24"/>
        </w:rPr>
        <w:t xml:space="preserve"> человек соответственно), естественная убыль населения составила </w:t>
      </w:r>
      <w:r w:rsidR="00727653">
        <w:rPr>
          <w:sz w:val="24"/>
          <w:szCs w:val="24"/>
        </w:rPr>
        <w:t>821</w:t>
      </w:r>
      <w:r w:rsidRPr="00F33A7B">
        <w:rPr>
          <w:sz w:val="24"/>
          <w:szCs w:val="24"/>
        </w:rPr>
        <w:t xml:space="preserve"> человек </w:t>
      </w:r>
      <w:r w:rsidR="007F2FDC">
        <w:rPr>
          <w:sz w:val="24"/>
          <w:szCs w:val="24"/>
        </w:rPr>
        <w:br/>
      </w:r>
      <w:r w:rsidRPr="00F33A7B">
        <w:rPr>
          <w:sz w:val="24"/>
          <w:szCs w:val="24"/>
        </w:rPr>
        <w:t>(за январь-</w:t>
      </w:r>
      <w:r w:rsidR="00727653">
        <w:rPr>
          <w:sz w:val="24"/>
          <w:szCs w:val="24"/>
        </w:rPr>
        <w:t>июнь</w:t>
      </w:r>
      <w:r w:rsidR="007F2FDC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Pr="00F33A7B">
        <w:rPr>
          <w:sz w:val="24"/>
          <w:szCs w:val="24"/>
        </w:rPr>
        <w:t xml:space="preserve"> года – убыль </w:t>
      </w:r>
      <w:r w:rsidR="00727653">
        <w:rPr>
          <w:sz w:val="24"/>
          <w:szCs w:val="24"/>
        </w:rPr>
        <w:t>534</w:t>
      </w:r>
      <w:r w:rsidRPr="00F33A7B">
        <w:rPr>
          <w:sz w:val="24"/>
          <w:szCs w:val="24"/>
        </w:rPr>
        <w:t xml:space="preserve"> человек</w:t>
      </w:r>
      <w:r w:rsidR="0072765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). 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C3237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10"/>
          <w:szCs w:val="10"/>
        </w:rPr>
      </w:pPr>
    </w:p>
    <w:p w:rsidR="004C3237" w:rsidRPr="00F33A7B" w:rsidRDefault="004C3237" w:rsidP="004C3237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0" cy="741872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3237" w:rsidRDefault="004C3237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652A8" w:rsidRPr="00E652A8" w:rsidRDefault="00E652A8" w:rsidP="004004EE">
      <w:pPr>
        <w:ind w:firstLine="709"/>
        <w:jc w:val="both"/>
        <w:rPr>
          <w:sz w:val="24"/>
          <w:szCs w:val="24"/>
        </w:rPr>
      </w:pPr>
      <w:r w:rsidRPr="00E652A8">
        <w:rPr>
          <w:sz w:val="24"/>
          <w:szCs w:val="24"/>
        </w:rPr>
        <w:t>За январь-</w:t>
      </w:r>
      <w:r w:rsidR="00727653">
        <w:rPr>
          <w:sz w:val="24"/>
          <w:szCs w:val="24"/>
        </w:rPr>
        <w:t xml:space="preserve">июнь </w:t>
      </w:r>
      <w:r w:rsidRPr="00E652A8">
        <w:rPr>
          <w:sz w:val="24"/>
          <w:szCs w:val="24"/>
        </w:rPr>
        <w:t xml:space="preserve">2020 года в город прибыло </w:t>
      </w:r>
      <w:r w:rsidR="00370194" w:rsidRPr="00370194">
        <w:rPr>
          <w:sz w:val="24"/>
          <w:szCs w:val="24"/>
        </w:rPr>
        <w:t>7785</w:t>
      </w:r>
      <w:r w:rsidRPr="00E652A8">
        <w:rPr>
          <w:sz w:val="24"/>
          <w:szCs w:val="24"/>
        </w:rPr>
        <w:t xml:space="preserve"> человек (за январь-</w:t>
      </w:r>
      <w:r w:rsidR="00727653">
        <w:rPr>
          <w:sz w:val="24"/>
          <w:szCs w:val="24"/>
        </w:rPr>
        <w:t xml:space="preserve">июнь </w:t>
      </w:r>
      <w:r w:rsidRPr="00E652A8">
        <w:rPr>
          <w:sz w:val="24"/>
          <w:szCs w:val="24"/>
        </w:rPr>
        <w:t xml:space="preserve">2019 года – </w:t>
      </w:r>
      <w:r>
        <w:rPr>
          <w:sz w:val="24"/>
          <w:szCs w:val="24"/>
        </w:rPr>
        <w:br/>
      </w:r>
      <w:r w:rsidR="00727653" w:rsidRPr="004004EE">
        <w:rPr>
          <w:sz w:val="24"/>
          <w:szCs w:val="24"/>
        </w:rPr>
        <w:t>10325</w:t>
      </w:r>
      <w:r w:rsidRPr="00E652A8">
        <w:rPr>
          <w:sz w:val="24"/>
          <w:szCs w:val="24"/>
        </w:rPr>
        <w:t xml:space="preserve"> человек), выбыло </w:t>
      </w:r>
      <w:r w:rsidR="004004EE" w:rsidRPr="004004EE">
        <w:rPr>
          <w:sz w:val="24"/>
          <w:szCs w:val="24"/>
        </w:rPr>
        <w:t>7543</w:t>
      </w:r>
      <w:r w:rsidRPr="00E652A8">
        <w:rPr>
          <w:sz w:val="24"/>
          <w:szCs w:val="24"/>
        </w:rPr>
        <w:t xml:space="preserve"> человек</w:t>
      </w:r>
      <w:r w:rsidR="00413249">
        <w:rPr>
          <w:sz w:val="24"/>
          <w:szCs w:val="24"/>
        </w:rPr>
        <w:t>а</w:t>
      </w:r>
      <w:r w:rsidRPr="00E652A8">
        <w:rPr>
          <w:sz w:val="24"/>
          <w:szCs w:val="24"/>
        </w:rPr>
        <w:t xml:space="preserve"> (</w:t>
      </w:r>
      <w:r w:rsidR="00370194" w:rsidRPr="004004EE">
        <w:rPr>
          <w:sz w:val="24"/>
          <w:szCs w:val="24"/>
        </w:rPr>
        <w:t>9660</w:t>
      </w:r>
      <w:r w:rsidRPr="00E652A8">
        <w:rPr>
          <w:sz w:val="24"/>
          <w:szCs w:val="24"/>
        </w:rPr>
        <w:t xml:space="preserve"> человек соответственно). Миграционный прирост составил </w:t>
      </w:r>
      <w:r w:rsidR="00727653">
        <w:rPr>
          <w:sz w:val="24"/>
          <w:szCs w:val="24"/>
        </w:rPr>
        <w:t>242</w:t>
      </w:r>
      <w:r w:rsidRPr="00E652A8">
        <w:rPr>
          <w:sz w:val="24"/>
          <w:szCs w:val="24"/>
        </w:rPr>
        <w:t xml:space="preserve"> человек</w:t>
      </w:r>
      <w:r w:rsidR="00727653">
        <w:rPr>
          <w:sz w:val="24"/>
          <w:szCs w:val="24"/>
        </w:rPr>
        <w:t>а</w:t>
      </w:r>
      <w:r w:rsidRPr="00E652A8">
        <w:rPr>
          <w:sz w:val="24"/>
          <w:szCs w:val="24"/>
        </w:rPr>
        <w:t xml:space="preserve"> (за январь-</w:t>
      </w:r>
      <w:r w:rsidR="00727653">
        <w:rPr>
          <w:sz w:val="24"/>
          <w:szCs w:val="24"/>
        </w:rPr>
        <w:t xml:space="preserve">июнь </w:t>
      </w:r>
      <w:r w:rsidRPr="00E652A8">
        <w:rPr>
          <w:sz w:val="24"/>
          <w:szCs w:val="24"/>
        </w:rPr>
        <w:t xml:space="preserve">2019 года </w:t>
      </w:r>
      <w:r w:rsidR="00082B65">
        <w:rPr>
          <w:sz w:val="24"/>
          <w:szCs w:val="24"/>
        </w:rPr>
        <w:t xml:space="preserve">– </w:t>
      </w:r>
      <w:r w:rsidR="00727653">
        <w:rPr>
          <w:sz w:val="24"/>
          <w:szCs w:val="24"/>
        </w:rPr>
        <w:t>665</w:t>
      </w:r>
      <w:r w:rsidRPr="00E652A8">
        <w:rPr>
          <w:sz w:val="24"/>
          <w:szCs w:val="24"/>
        </w:rPr>
        <w:t xml:space="preserve"> человек).</w:t>
      </w:r>
    </w:p>
    <w:p w:rsidR="00E652A8" w:rsidRPr="00451977" w:rsidRDefault="00E652A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B30A3">
        <w:rPr>
          <w:b/>
          <w:bCs/>
        </w:rPr>
        <w:t>Доходы населения</w:t>
      </w:r>
    </w:p>
    <w:p w:rsidR="00C66892" w:rsidRPr="00451977" w:rsidRDefault="00C66892" w:rsidP="00E81171">
      <w:pPr>
        <w:pStyle w:val="ab"/>
        <w:tabs>
          <w:tab w:val="left" w:pos="1512"/>
        </w:tabs>
        <w:ind w:right="-143"/>
        <w:jc w:val="center"/>
        <w:rPr>
          <w:b/>
          <w:bCs/>
          <w:sz w:val="10"/>
          <w:szCs w:val="10"/>
        </w:rPr>
      </w:pPr>
    </w:p>
    <w:p w:rsidR="001E3843" w:rsidRPr="0091269D" w:rsidRDefault="001E3843" w:rsidP="001E3843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1269D">
        <w:rPr>
          <w:sz w:val="24"/>
          <w:szCs w:val="24"/>
        </w:rPr>
        <w:t>Заработная плата по крупным и средним организациям за январь</w:t>
      </w:r>
      <w:r w:rsidR="007B30A3" w:rsidRPr="0091269D">
        <w:rPr>
          <w:sz w:val="24"/>
          <w:szCs w:val="24"/>
        </w:rPr>
        <w:t>-</w:t>
      </w:r>
      <w:r w:rsidR="004004EE">
        <w:rPr>
          <w:sz w:val="24"/>
          <w:szCs w:val="24"/>
        </w:rPr>
        <w:t>июнь</w:t>
      </w:r>
      <w:r w:rsidRPr="0091269D">
        <w:rPr>
          <w:sz w:val="24"/>
          <w:szCs w:val="24"/>
        </w:rPr>
        <w:t xml:space="preserve"> 2020 года увеличилась на </w:t>
      </w:r>
      <w:r w:rsidR="004004EE">
        <w:rPr>
          <w:sz w:val="24"/>
          <w:szCs w:val="24"/>
        </w:rPr>
        <w:t>8,1</w:t>
      </w:r>
      <w:r w:rsidR="00603B7D" w:rsidRPr="0091269D">
        <w:rPr>
          <w:sz w:val="24"/>
          <w:szCs w:val="24"/>
        </w:rPr>
        <w:t>%</w:t>
      </w:r>
      <w:r w:rsidRPr="0091269D">
        <w:rPr>
          <w:sz w:val="24"/>
          <w:szCs w:val="24"/>
        </w:rPr>
        <w:t xml:space="preserve"> и составила </w:t>
      </w:r>
      <w:r w:rsidR="004004EE" w:rsidRPr="004004EE">
        <w:rPr>
          <w:sz w:val="24"/>
          <w:szCs w:val="24"/>
        </w:rPr>
        <w:t>39180</w:t>
      </w:r>
      <w:r w:rsidRPr="0091269D">
        <w:rPr>
          <w:sz w:val="24"/>
          <w:szCs w:val="24"/>
        </w:rPr>
        <w:t xml:space="preserve"> рубл</w:t>
      </w:r>
      <w:r w:rsidR="004004EE">
        <w:rPr>
          <w:sz w:val="24"/>
          <w:szCs w:val="24"/>
        </w:rPr>
        <w:t>ей</w:t>
      </w:r>
      <w:r w:rsidRPr="0091269D">
        <w:rPr>
          <w:sz w:val="24"/>
          <w:szCs w:val="24"/>
        </w:rPr>
        <w:t>.</w:t>
      </w:r>
    </w:p>
    <w:p w:rsidR="00F33A7B" w:rsidRPr="007E20A7" w:rsidRDefault="00DF04B7" w:rsidP="00F33A7B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7E20A7">
        <w:rPr>
          <w:sz w:val="24"/>
          <w:szCs w:val="24"/>
        </w:rPr>
        <w:t xml:space="preserve">Наибольший </w:t>
      </w:r>
      <w:proofErr w:type="gramStart"/>
      <w:r w:rsidRPr="007E20A7">
        <w:rPr>
          <w:sz w:val="24"/>
          <w:szCs w:val="24"/>
        </w:rPr>
        <w:t>размер оплаты труда</w:t>
      </w:r>
      <w:proofErr w:type="gramEnd"/>
      <w:r w:rsidRPr="007E20A7">
        <w:rPr>
          <w:sz w:val="24"/>
          <w:szCs w:val="24"/>
        </w:rPr>
        <w:t xml:space="preserve"> наблюдается </w:t>
      </w:r>
      <w:r w:rsidR="00FB4BD4" w:rsidRPr="007E20A7">
        <w:rPr>
          <w:sz w:val="24"/>
          <w:szCs w:val="24"/>
        </w:rPr>
        <w:t>в финансовой и страховой деятельности (</w:t>
      </w:r>
      <w:r w:rsidR="00FB4BD4" w:rsidRPr="00D06E2B">
        <w:rPr>
          <w:sz w:val="24"/>
          <w:szCs w:val="24"/>
        </w:rPr>
        <w:t>57</w:t>
      </w:r>
      <w:r w:rsidR="004004EE">
        <w:rPr>
          <w:sz w:val="24"/>
          <w:szCs w:val="24"/>
        </w:rPr>
        <w:t>420</w:t>
      </w:r>
      <w:r w:rsidR="00FB4BD4" w:rsidRPr="007E20A7">
        <w:rPr>
          <w:sz w:val="24"/>
          <w:szCs w:val="24"/>
        </w:rPr>
        <w:t xml:space="preserve"> рубл</w:t>
      </w:r>
      <w:r w:rsidR="004004EE">
        <w:rPr>
          <w:sz w:val="24"/>
          <w:szCs w:val="24"/>
        </w:rPr>
        <w:t>ей</w:t>
      </w:r>
      <w:r w:rsidR="00FB4BD4" w:rsidRPr="007E20A7">
        <w:rPr>
          <w:sz w:val="24"/>
          <w:szCs w:val="24"/>
        </w:rPr>
        <w:t>),</w:t>
      </w:r>
      <w:r w:rsidR="00FB4BD4" w:rsidRPr="00FB4BD4">
        <w:rPr>
          <w:sz w:val="24"/>
          <w:szCs w:val="24"/>
        </w:rPr>
        <w:t xml:space="preserve"> профессиональной, научной и технической деятельности (</w:t>
      </w:r>
      <w:r w:rsidR="004004EE">
        <w:rPr>
          <w:sz w:val="24"/>
          <w:szCs w:val="24"/>
        </w:rPr>
        <w:t>48000</w:t>
      </w:r>
      <w:r w:rsidR="00FB4BD4" w:rsidRPr="00FB4BD4">
        <w:rPr>
          <w:sz w:val="24"/>
          <w:szCs w:val="24"/>
        </w:rPr>
        <w:t xml:space="preserve"> рубл</w:t>
      </w:r>
      <w:r w:rsidR="004004EE">
        <w:rPr>
          <w:sz w:val="24"/>
          <w:szCs w:val="24"/>
        </w:rPr>
        <w:t>ей</w:t>
      </w:r>
      <w:r w:rsidR="00FB4BD4" w:rsidRPr="00FB4BD4">
        <w:rPr>
          <w:sz w:val="24"/>
          <w:szCs w:val="24"/>
        </w:rPr>
        <w:t xml:space="preserve">), </w:t>
      </w:r>
      <w:r w:rsidR="004004EE">
        <w:rPr>
          <w:sz w:val="24"/>
          <w:szCs w:val="24"/>
        </w:rPr>
        <w:t xml:space="preserve">в </w:t>
      </w:r>
      <w:r w:rsidR="004004EE" w:rsidRPr="004004EE">
        <w:rPr>
          <w:sz w:val="24"/>
          <w:szCs w:val="24"/>
        </w:rPr>
        <w:t>государственном управлении и обеспечении военной безопасности; социальном обеспечении</w:t>
      </w:r>
      <w:r w:rsidR="004004EE">
        <w:rPr>
          <w:sz w:val="24"/>
          <w:szCs w:val="24"/>
        </w:rPr>
        <w:t xml:space="preserve"> (47903 рубля), </w:t>
      </w:r>
      <w:r w:rsidR="00FB4BD4">
        <w:rPr>
          <w:sz w:val="24"/>
          <w:szCs w:val="24"/>
        </w:rPr>
        <w:t xml:space="preserve">в </w:t>
      </w:r>
      <w:r w:rsidR="00FB4BD4" w:rsidRPr="00FB4BD4">
        <w:rPr>
          <w:sz w:val="24"/>
          <w:szCs w:val="24"/>
        </w:rPr>
        <w:t>обеспечени</w:t>
      </w:r>
      <w:r w:rsidR="00FB4BD4">
        <w:rPr>
          <w:sz w:val="24"/>
          <w:szCs w:val="24"/>
        </w:rPr>
        <w:t xml:space="preserve">и </w:t>
      </w:r>
      <w:r w:rsidR="00FB4BD4" w:rsidRPr="00FB4BD4">
        <w:rPr>
          <w:sz w:val="24"/>
          <w:szCs w:val="24"/>
        </w:rPr>
        <w:t>электрической энергией, газом и паром; кондиционировани</w:t>
      </w:r>
      <w:r w:rsidR="0008709D">
        <w:rPr>
          <w:sz w:val="24"/>
          <w:szCs w:val="24"/>
        </w:rPr>
        <w:t>и</w:t>
      </w:r>
      <w:r w:rsidR="00FB4BD4" w:rsidRPr="00FB4BD4">
        <w:rPr>
          <w:sz w:val="24"/>
          <w:szCs w:val="24"/>
        </w:rPr>
        <w:t xml:space="preserve"> воздуха (</w:t>
      </w:r>
      <w:r w:rsidR="004004EE" w:rsidRPr="004004EE">
        <w:rPr>
          <w:sz w:val="24"/>
          <w:szCs w:val="24"/>
        </w:rPr>
        <w:t>45848</w:t>
      </w:r>
      <w:r w:rsidR="00FB4BD4" w:rsidRPr="00FB4BD4">
        <w:rPr>
          <w:sz w:val="24"/>
          <w:szCs w:val="24"/>
        </w:rPr>
        <w:t xml:space="preserve"> рубл</w:t>
      </w:r>
      <w:r w:rsidR="004004EE">
        <w:rPr>
          <w:sz w:val="24"/>
          <w:szCs w:val="24"/>
        </w:rPr>
        <w:t>ей</w:t>
      </w:r>
      <w:r w:rsidR="00FB4BD4" w:rsidRPr="00FB4BD4">
        <w:rPr>
          <w:sz w:val="24"/>
          <w:szCs w:val="24"/>
        </w:rPr>
        <w:t>)</w:t>
      </w:r>
      <w:r w:rsidRPr="007E20A7">
        <w:rPr>
          <w:sz w:val="24"/>
          <w:szCs w:val="24"/>
        </w:rPr>
        <w:t>. Наибольший темп роста заработной платы сложился</w:t>
      </w:r>
      <w:r w:rsidRPr="00D06E2B">
        <w:rPr>
          <w:sz w:val="24"/>
          <w:szCs w:val="24"/>
        </w:rPr>
        <w:t xml:space="preserve"> </w:t>
      </w:r>
      <w:r w:rsidR="00F33A7B" w:rsidRPr="007E20A7">
        <w:rPr>
          <w:sz w:val="24"/>
          <w:szCs w:val="24"/>
        </w:rPr>
        <w:t xml:space="preserve">в </w:t>
      </w:r>
      <w:r w:rsidR="00840132" w:rsidRPr="00840132">
        <w:rPr>
          <w:sz w:val="24"/>
          <w:szCs w:val="24"/>
        </w:rPr>
        <w:t>сельском, лесном хозяйстве, охоте, рыболовстве и рыбоводстве</w:t>
      </w:r>
      <w:r w:rsidR="00840132">
        <w:rPr>
          <w:sz w:val="24"/>
          <w:szCs w:val="24"/>
        </w:rPr>
        <w:t xml:space="preserve"> </w:t>
      </w:r>
      <w:r w:rsidR="00E85346" w:rsidRPr="007E20A7">
        <w:rPr>
          <w:sz w:val="24"/>
          <w:szCs w:val="24"/>
        </w:rPr>
        <w:t xml:space="preserve">– </w:t>
      </w:r>
      <w:r w:rsidR="00D06E2B" w:rsidRPr="00D06E2B">
        <w:rPr>
          <w:sz w:val="24"/>
          <w:szCs w:val="24"/>
        </w:rPr>
        <w:t>1</w:t>
      </w:r>
      <w:r w:rsidR="00045440">
        <w:rPr>
          <w:sz w:val="24"/>
          <w:szCs w:val="24"/>
        </w:rPr>
        <w:t>1</w:t>
      </w:r>
      <w:r w:rsidR="00D06E2B" w:rsidRPr="00D06E2B">
        <w:rPr>
          <w:sz w:val="24"/>
          <w:szCs w:val="24"/>
        </w:rPr>
        <w:t>7</w:t>
      </w:r>
      <w:r w:rsidR="00045440">
        <w:rPr>
          <w:sz w:val="24"/>
          <w:szCs w:val="24"/>
        </w:rPr>
        <w:t>,</w:t>
      </w:r>
      <w:r w:rsidR="00C5292F">
        <w:rPr>
          <w:sz w:val="24"/>
          <w:szCs w:val="24"/>
        </w:rPr>
        <w:t>1</w:t>
      </w:r>
      <w:r w:rsidR="00E85346" w:rsidRPr="007E20A7">
        <w:rPr>
          <w:sz w:val="24"/>
          <w:szCs w:val="24"/>
        </w:rPr>
        <w:t xml:space="preserve">%, </w:t>
      </w:r>
      <w:r w:rsidR="00045440" w:rsidRPr="00045440">
        <w:rPr>
          <w:sz w:val="24"/>
          <w:szCs w:val="24"/>
        </w:rPr>
        <w:t>деятельност</w:t>
      </w:r>
      <w:r w:rsidR="00045440">
        <w:rPr>
          <w:sz w:val="24"/>
          <w:szCs w:val="24"/>
        </w:rPr>
        <w:t>и</w:t>
      </w:r>
      <w:r w:rsidR="00045440" w:rsidRPr="00045440">
        <w:rPr>
          <w:sz w:val="24"/>
          <w:szCs w:val="24"/>
        </w:rPr>
        <w:t xml:space="preserve"> в области информации и связи</w:t>
      </w:r>
      <w:r w:rsidR="00045440">
        <w:rPr>
          <w:sz w:val="24"/>
          <w:szCs w:val="24"/>
        </w:rPr>
        <w:t xml:space="preserve"> </w:t>
      </w:r>
      <w:r w:rsidR="00D06E2B">
        <w:rPr>
          <w:sz w:val="24"/>
          <w:szCs w:val="24"/>
        </w:rPr>
        <w:t xml:space="preserve">– </w:t>
      </w:r>
      <w:r w:rsidR="00C5292F">
        <w:rPr>
          <w:sz w:val="24"/>
          <w:szCs w:val="24"/>
        </w:rPr>
        <w:t>112,7</w:t>
      </w:r>
      <w:r w:rsidR="00D06E2B" w:rsidRPr="007E20A7">
        <w:rPr>
          <w:sz w:val="24"/>
          <w:szCs w:val="24"/>
        </w:rPr>
        <w:t>%</w:t>
      </w:r>
      <w:r w:rsidR="00D06E2B">
        <w:rPr>
          <w:sz w:val="24"/>
          <w:szCs w:val="24"/>
        </w:rPr>
        <w:t xml:space="preserve">, </w:t>
      </w:r>
      <w:r w:rsidR="00C5292F" w:rsidRPr="00C5292F">
        <w:rPr>
          <w:sz w:val="24"/>
          <w:szCs w:val="24"/>
        </w:rPr>
        <w:t>здравоохранения и социальных услуг</w:t>
      </w:r>
      <w:r w:rsidR="00E85346" w:rsidRPr="007E20A7">
        <w:rPr>
          <w:sz w:val="24"/>
          <w:szCs w:val="24"/>
        </w:rPr>
        <w:t xml:space="preserve"> </w:t>
      </w:r>
      <w:r w:rsidR="00F57663" w:rsidRPr="007E20A7">
        <w:rPr>
          <w:sz w:val="24"/>
          <w:szCs w:val="24"/>
        </w:rPr>
        <w:t xml:space="preserve">– </w:t>
      </w:r>
      <w:r w:rsidR="00045440">
        <w:rPr>
          <w:sz w:val="24"/>
          <w:szCs w:val="24"/>
        </w:rPr>
        <w:t>11</w:t>
      </w:r>
      <w:r w:rsidR="00C5292F">
        <w:rPr>
          <w:sz w:val="24"/>
          <w:szCs w:val="24"/>
        </w:rPr>
        <w:t>2</w:t>
      </w:r>
      <w:r w:rsidR="00F57663" w:rsidRPr="007E20A7">
        <w:rPr>
          <w:sz w:val="24"/>
          <w:szCs w:val="24"/>
        </w:rPr>
        <w:t>%</w:t>
      </w:r>
      <w:r w:rsidR="00D06E2B">
        <w:rPr>
          <w:sz w:val="24"/>
          <w:szCs w:val="24"/>
        </w:rPr>
        <w:t>.</w:t>
      </w:r>
    </w:p>
    <w:p w:rsidR="00E81171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B0566">
        <w:rPr>
          <w:sz w:val="24"/>
          <w:szCs w:val="24"/>
        </w:rPr>
        <w:t xml:space="preserve">По данным </w:t>
      </w:r>
      <w:proofErr w:type="spellStart"/>
      <w:r w:rsidRPr="007B0566">
        <w:rPr>
          <w:sz w:val="24"/>
          <w:szCs w:val="24"/>
        </w:rPr>
        <w:t>Алтайкрайстата</w:t>
      </w:r>
      <w:proofErr w:type="spellEnd"/>
      <w:r w:rsidRPr="007B0566">
        <w:rPr>
          <w:sz w:val="24"/>
          <w:szCs w:val="24"/>
        </w:rPr>
        <w:t xml:space="preserve"> на </w:t>
      </w:r>
      <w:r w:rsidR="006B2A90" w:rsidRPr="007B0566">
        <w:rPr>
          <w:sz w:val="24"/>
          <w:szCs w:val="24"/>
        </w:rPr>
        <w:t>01.0</w:t>
      </w:r>
      <w:r w:rsidR="00C5292F">
        <w:rPr>
          <w:sz w:val="24"/>
          <w:szCs w:val="24"/>
        </w:rPr>
        <w:t>8</w:t>
      </w:r>
      <w:r w:rsidRPr="007B0566">
        <w:rPr>
          <w:sz w:val="24"/>
          <w:szCs w:val="24"/>
        </w:rPr>
        <w:t>.</w:t>
      </w:r>
      <w:r w:rsidR="006B2A90" w:rsidRPr="007B0566">
        <w:rPr>
          <w:sz w:val="24"/>
          <w:szCs w:val="24"/>
        </w:rPr>
        <w:t>2020</w:t>
      </w:r>
      <w:r w:rsidRPr="007B0566">
        <w:rPr>
          <w:sz w:val="24"/>
          <w:szCs w:val="24"/>
        </w:rPr>
        <w:t xml:space="preserve"> не погашена просроченная задолженность             по заработной плате в размере </w:t>
      </w:r>
      <w:r w:rsidR="00E82ADA" w:rsidRPr="007B0566">
        <w:rPr>
          <w:sz w:val="24"/>
          <w:szCs w:val="24"/>
        </w:rPr>
        <w:t>8,</w:t>
      </w:r>
      <w:r w:rsidR="00C5292F">
        <w:rPr>
          <w:sz w:val="24"/>
          <w:szCs w:val="24"/>
        </w:rPr>
        <w:t>7</w:t>
      </w:r>
      <w:r w:rsidRPr="007B0566">
        <w:rPr>
          <w:sz w:val="24"/>
          <w:szCs w:val="24"/>
        </w:rPr>
        <w:t xml:space="preserve"> млн. рублей.</w:t>
      </w:r>
      <w:bookmarkStart w:id="1" w:name="_GoBack"/>
      <w:bookmarkEnd w:id="1"/>
    </w:p>
    <w:p w:rsidR="00F3662E" w:rsidRPr="0003560E" w:rsidRDefault="00F3662E" w:rsidP="00E81171">
      <w:pPr>
        <w:tabs>
          <w:tab w:val="left" w:pos="1512"/>
        </w:tabs>
        <w:ind w:right="-143" w:firstLine="709"/>
        <w:jc w:val="both"/>
        <w:rPr>
          <w:sz w:val="10"/>
          <w:szCs w:val="10"/>
        </w:rPr>
      </w:pPr>
    </w:p>
    <w:p w:rsidR="00E81171" w:rsidRPr="0007344E" w:rsidRDefault="00E81171" w:rsidP="00E81171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07344E">
        <w:rPr>
          <w:sz w:val="24"/>
          <w:szCs w:val="24"/>
        </w:rPr>
        <w:t>Просроченная задолженность по заработной плате, млн. рублей</w:t>
      </w:r>
    </w:p>
    <w:p w:rsidR="00E81171" w:rsidRDefault="0099475B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82" cy="795131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D1147" w:rsidRPr="0027439A" w:rsidRDefault="003D1147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3D1147" w:rsidRPr="0027439A" w:rsidRDefault="003D1147" w:rsidP="003D1147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>
        <w:rPr>
          <w:sz w:val="23"/>
          <w:szCs w:val="23"/>
        </w:rPr>
        <w:t>ию</w:t>
      </w:r>
      <w:r w:rsidR="00951B36">
        <w:rPr>
          <w:sz w:val="23"/>
          <w:szCs w:val="23"/>
        </w:rPr>
        <w:t>л</w:t>
      </w:r>
      <w:r>
        <w:rPr>
          <w:sz w:val="23"/>
          <w:szCs w:val="23"/>
        </w:rPr>
        <w:t>е</w:t>
      </w:r>
      <w:r w:rsidRPr="0027439A">
        <w:rPr>
          <w:sz w:val="23"/>
          <w:szCs w:val="23"/>
        </w:rPr>
        <w:t xml:space="preserve"> в Барнауле по сравнению с другими крупными городами Сибирского федерального округа зафиксированы минимальные цены на </w:t>
      </w:r>
      <w:r w:rsidR="000B44FF">
        <w:rPr>
          <w:sz w:val="23"/>
          <w:szCs w:val="23"/>
        </w:rPr>
        <w:t>8</w:t>
      </w:r>
      <w:r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 xml:space="preserve">из </w:t>
      </w:r>
      <w:r>
        <w:rPr>
          <w:sz w:val="23"/>
          <w:szCs w:val="23"/>
        </w:rPr>
        <w:t>24</w:t>
      </w:r>
      <w:r w:rsidRPr="0027439A">
        <w:rPr>
          <w:sz w:val="23"/>
          <w:szCs w:val="23"/>
        </w:rPr>
        <w:t xml:space="preserve"> социально значимых продуктов питания: </w:t>
      </w:r>
    </w:p>
    <w:p w:rsidR="003D1147" w:rsidRPr="0027439A" w:rsidRDefault="003D1147" w:rsidP="003D1147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3D1147" w:rsidRPr="00AC1771" w:rsidTr="003D1147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951B36" w:rsidRPr="00AC1771" w:rsidTr="002F27E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442,01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405,92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483,69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467,01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413,72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466,79</w:t>
            </w:r>
          </w:p>
        </w:tc>
      </w:tr>
      <w:tr w:rsidR="00951B36" w:rsidRPr="00AC1771" w:rsidTr="002F27E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322,29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359,99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349,06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357,21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354,08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327,03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368,55</w:t>
            </w:r>
          </w:p>
        </w:tc>
      </w:tr>
      <w:tr w:rsidR="00951B36" w:rsidRPr="00AC1771" w:rsidTr="002F27E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254,57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297,14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272,66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302,75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285,54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246,54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287,12</w:t>
            </w:r>
          </w:p>
        </w:tc>
      </w:tr>
      <w:tr w:rsidR="00951B36" w:rsidRPr="00AC1771" w:rsidTr="002F27E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144,2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175,69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136,95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163,92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147,44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150,68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143,51</w:t>
            </w:r>
          </w:p>
        </w:tc>
      </w:tr>
      <w:tr w:rsidR="00951B36" w:rsidRPr="00AC1771" w:rsidTr="002F27E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143,42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151,97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170,1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197,01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184,92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148,62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168,57</w:t>
            </w:r>
          </w:p>
        </w:tc>
      </w:tr>
      <w:tr w:rsidR="00951B36" w:rsidRPr="00AC1771" w:rsidTr="002F27E3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100,64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105,05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111,48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112,49</w:t>
            </w:r>
          </w:p>
        </w:tc>
      </w:tr>
      <w:tr w:rsidR="00951B36" w:rsidRPr="00AC1771" w:rsidTr="002F27E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483,2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655,75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543,98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661,11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621,07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502,16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465,15</w:t>
            </w:r>
          </w:p>
        </w:tc>
      </w:tr>
      <w:tr w:rsidR="00951B36" w:rsidRPr="00AC1771" w:rsidTr="002F27E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55,46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53,44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60,77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59,21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60,18</w:t>
            </w:r>
          </w:p>
        </w:tc>
      </w:tr>
      <w:tr w:rsidR="00951B36" w:rsidRPr="00AC1771" w:rsidTr="002F27E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45,3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53,6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56,69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35,26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44,22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43,29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41,91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37,68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780,7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579,95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705,65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786,05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1005,45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634,85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670,59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15,93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31,42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34,93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32,8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37,49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35,73</w:t>
            </w:r>
          </w:p>
        </w:tc>
      </w:tr>
      <w:tr w:rsidR="00951B36" w:rsidRPr="00AC1771" w:rsidTr="00A979EA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89,55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93,9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110,88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94,85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62,84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65,58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74,19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74,07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59,77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77,2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59,34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87,73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88,86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76,76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51,01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46,4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79,83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63,73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61,41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69,38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77,32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91,5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89,38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82,92</w:t>
            </w:r>
          </w:p>
        </w:tc>
      </w:tr>
      <w:tr w:rsidR="00951B36" w:rsidRPr="00AC1771" w:rsidTr="000B44F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59,13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66,48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73,87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89,5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58,47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38,14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53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44,74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30,1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41,8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23,58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32,58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23,35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23,85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28,4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30,93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28,95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28,42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30,45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43,4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64,88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47,6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58,29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47,86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52,93</w:t>
            </w:r>
          </w:p>
        </w:tc>
      </w:tr>
      <w:tr w:rsidR="00951B36" w:rsidRPr="00AC1771" w:rsidTr="00A979E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180,89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203,14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145,89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177,05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154,72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165,58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7476EE" w:rsidRDefault="003D1147" w:rsidP="003D1147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Непродовольственные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товары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9499,22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10743,39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8629,39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9342,97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172,98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8563,51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7938,63</w:t>
            </w:r>
          </w:p>
        </w:tc>
      </w:tr>
      <w:tr w:rsidR="00951B36" w:rsidRPr="00AC1771" w:rsidTr="00087B9D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237,08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2F27E3">
            <w:pPr>
              <w:tabs>
                <w:tab w:val="right" w:pos="750"/>
              </w:tabs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273,82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241,19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260,85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223,22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235,34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207,59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352,1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415,86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333,28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365,97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381,97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323,5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368,19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514,01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564,62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515,16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503,9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440,75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3D7E9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11218,6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3D7E9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13315,55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3D7E9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10593,68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3D7E9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11695,28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3D7E9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12714,65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3D7E9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9553,33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3D7E9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12876,37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2930,8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2182,55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1247,51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2066,14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3324,91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3090,24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2989,28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1262,94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1227,24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1518,13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872,61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1535,3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1131,3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49,89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49,72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49,97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49,84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40,58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42,88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41,81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41,35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40,8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42,92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45,63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44,69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43,47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7476EE" w:rsidRDefault="003D1147" w:rsidP="003D1147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Платные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услуги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6,7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7,46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151,19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104,91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126,56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153,89</w:t>
            </w:r>
          </w:p>
        </w:tc>
      </w:tr>
      <w:tr w:rsidR="00951B36" w:rsidRPr="00AC1771" w:rsidTr="00087B9D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84,41</w:t>
            </w:r>
          </w:p>
        </w:tc>
      </w:tr>
      <w:tr w:rsidR="00951B36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1991,52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1466,72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778,75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1782,87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1467,82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1663,75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942,54</w:t>
            </w:r>
          </w:p>
        </w:tc>
      </w:tr>
      <w:tr w:rsidR="00951B36" w:rsidRPr="00AC1771" w:rsidTr="00087B9D">
        <w:trPr>
          <w:trHeight w:val="4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32,68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25,3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951B36" w:rsidRPr="00AC1771" w:rsidTr="00087B9D">
        <w:trPr>
          <w:trHeight w:val="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266,93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260,17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307,23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220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210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51B36" w:rsidRPr="00AC1771" w:rsidTr="00087B9D">
        <w:trPr>
          <w:trHeight w:val="6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B36" w:rsidRPr="00F14217" w:rsidRDefault="00951B36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24,24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B36" w:rsidRPr="00B86C6C" w:rsidRDefault="00951B36" w:rsidP="00951B36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17,38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7476EE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8968EA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EA" w:rsidRPr="00F14217" w:rsidRDefault="008968EA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429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359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435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426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366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968EA" w:rsidRPr="00AC1771" w:rsidTr="00087B9D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8EA" w:rsidRPr="00F14217" w:rsidRDefault="008968EA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350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117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251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298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8EA" w:rsidRPr="00B86C6C" w:rsidRDefault="008968EA" w:rsidP="003D7E99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86C6C">
              <w:rPr>
                <w:rFonts w:eastAsia="Times New Roman"/>
                <w:sz w:val="20"/>
                <w:szCs w:val="20"/>
                <w:lang w:eastAsia="ru-RU"/>
              </w:rPr>
              <w:t>256</w:t>
            </w:r>
            <w:r w:rsidR="003D7E99">
              <w:rPr>
                <w:rFonts w:eastAsia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3D1147" w:rsidRDefault="003D1147" w:rsidP="003D1147">
      <w:pPr>
        <w:ind w:right="-307"/>
        <w:rPr>
          <w:b/>
          <w:i/>
          <w:sz w:val="4"/>
          <w:szCs w:val="4"/>
        </w:rPr>
      </w:pPr>
    </w:p>
    <w:tbl>
      <w:tblPr>
        <w:tblW w:w="737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4219"/>
      </w:tblGrid>
      <w:tr w:rsidR="003D1147" w:rsidRPr="00AC1771" w:rsidTr="003D1147">
        <w:trPr>
          <w:trHeight w:val="321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3D1147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7077C1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1" style="position:absolute;left:0;text-align:left;margin-left:30.1pt;margin-top:.5pt;width:27.75pt;height:7.15pt;z-index:251660288;mso-position-horizontal-relative:text;mso-position-vertical-relative:text" fillcolor="#f6c" strokecolor="#f6c"/>
              </w:pict>
            </w:r>
            <w:r w:rsidR="003D1147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3D1147" w:rsidRPr="00E34CC9" w:rsidRDefault="003D1147" w:rsidP="003D1147">
      <w:pPr>
        <w:ind w:right="-307"/>
        <w:rPr>
          <w:b/>
          <w:i/>
          <w:sz w:val="4"/>
          <w:szCs w:val="4"/>
        </w:rPr>
      </w:pPr>
    </w:p>
    <w:p w:rsidR="003D1147" w:rsidRDefault="003D1147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sectPr w:rsidR="003D1147" w:rsidSect="004004EE">
      <w:headerReference w:type="default" r:id="rId15"/>
      <w:pgSz w:w="11906" w:h="16838"/>
      <w:pgMar w:top="567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49" w:rsidRDefault="00413249" w:rsidP="0091736E">
      <w:r>
        <w:separator/>
      </w:r>
    </w:p>
  </w:endnote>
  <w:endnote w:type="continuationSeparator" w:id="0">
    <w:p w:rsidR="00413249" w:rsidRDefault="00413249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49" w:rsidRDefault="00413249" w:rsidP="0091736E">
      <w:r>
        <w:separator/>
      </w:r>
    </w:p>
  </w:footnote>
  <w:footnote w:type="continuationSeparator" w:id="0">
    <w:p w:rsidR="00413249" w:rsidRDefault="00413249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49" w:rsidRPr="00C00C70" w:rsidRDefault="007077C1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413249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840132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543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585E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F3E"/>
    <w:rsid w:val="0003560E"/>
    <w:rsid w:val="000358BD"/>
    <w:rsid w:val="00036585"/>
    <w:rsid w:val="00037664"/>
    <w:rsid w:val="00043157"/>
    <w:rsid w:val="0004357B"/>
    <w:rsid w:val="000449BB"/>
    <w:rsid w:val="00044BC6"/>
    <w:rsid w:val="00045440"/>
    <w:rsid w:val="00046406"/>
    <w:rsid w:val="00047324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AA9"/>
    <w:rsid w:val="00071C82"/>
    <w:rsid w:val="00071FA3"/>
    <w:rsid w:val="0007203C"/>
    <w:rsid w:val="00073277"/>
    <w:rsid w:val="0007344E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B65"/>
    <w:rsid w:val="00082FDF"/>
    <w:rsid w:val="00083BD2"/>
    <w:rsid w:val="00084A1D"/>
    <w:rsid w:val="00084E29"/>
    <w:rsid w:val="00084FB9"/>
    <w:rsid w:val="00085386"/>
    <w:rsid w:val="0008709D"/>
    <w:rsid w:val="00087B9D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2748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4FF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5CE7"/>
    <w:rsid w:val="000D6F8A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740F"/>
    <w:rsid w:val="001179A2"/>
    <w:rsid w:val="00122BCD"/>
    <w:rsid w:val="00123207"/>
    <w:rsid w:val="001257E2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77F58"/>
    <w:rsid w:val="001815CF"/>
    <w:rsid w:val="00182E6D"/>
    <w:rsid w:val="001843FE"/>
    <w:rsid w:val="001852C3"/>
    <w:rsid w:val="0018659D"/>
    <w:rsid w:val="00186625"/>
    <w:rsid w:val="0018665A"/>
    <w:rsid w:val="001908F8"/>
    <w:rsid w:val="0019199E"/>
    <w:rsid w:val="001935DF"/>
    <w:rsid w:val="001954DC"/>
    <w:rsid w:val="00197E8E"/>
    <w:rsid w:val="001A0FEB"/>
    <w:rsid w:val="001A10C5"/>
    <w:rsid w:val="001A1F11"/>
    <w:rsid w:val="001A3619"/>
    <w:rsid w:val="001A4ACB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98F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40B7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231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3C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23A0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928"/>
    <w:rsid w:val="002E1D97"/>
    <w:rsid w:val="002E2DB1"/>
    <w:rsid w:val="002E489C"/>
    <w:rsid w:val="002E62D5"/>
    <w:rsid w:val="002E6F40"/>
    <w:rsid w:val="002F0E70"/>
    <w:rsid w:val="002F1BE9"/>
    <w:rsid w:val="002F1CC7"/>
    <w:rsid w:val="002F1D17"/>
    <w:rsid w:val="002F22F8"/>
    <w:rsid w:val="002F260D"/>
    <w:rsid w:val="002F27E3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34891"/>
    <w:rsid w:val="003401F7"/>
    <w:rsid w:val="00340CBD"/>
    <w:rsid w:val="00340D8E"/>
    <w:rsid w:val="0034146D"/>
    <w:rsid w:val="00341523"/>
    <w:rsid w:val="00342265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7A8"/>
    <w:rsid w:val="00352C1B"/>
    <w:rsid w:val="0035305C"/>
    <w:rsid w:val="003549A4"/>
    <w:rsid w:val="00354C29"/>
    <w:rsid w:val="00354F05"/>
    <w:rsid w:val="0035525B"/>
    <w:rsid w:val="00355498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100"/>
    <w:rsid w:val="0036695B"/>
    <w:rsid w:val="00367CB4"/>
    <w:rsid w:val="0037019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5287"/>
    <w:rsid w:val="003A657C"/>
    <w:rsid w:val="003A6A3F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8F1"/>
    <w:rsid w:val="003D1147"/>
    <w:rsid w:val="003D1E00"/>
    <w:rsid w:val="003D3757"/>
    <w:rsid w:val="003D5A35"/>
    <w:rsid w:val="003D71D7"/>
    <w:rsid w:val="003D7E99"/>
    <w:rsid w:val="003E0115"/>
    <w:rsid w:val="003E0471"/>
    <w:rsid w:val="003E1DAF"/>
    <w:rsid w:val="003E2B36"/>
    <w:rsid w:val="003E35E3"/>
    <w:rsid w:val="003E57FE"/>
    <w:rsid w:val="003E5FAE"/>
    <w:rsid w:val="003E714A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42"/>
    <w:rsid w:val="003F50C5"/>
    <w:rsid w:val="003F5C1D"/>
    <w:rsid w:val="003F7028"/>
    <w:rsid w:val="004001EE"/>
    <w:rsid w:val="004004EE"/>
    <w:rsid w:val="00400B01"/>
    <w:rsid w:val="0040128B"/>
    <w:rsid w:val="00401675"/>
    <w:rsid w:val="004017EA"/>
    <w:rsid w:val="00403453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BA0"/>
    <w:rsid w:val="004121FC"/>
    <w:rsid w:val="004123BE"/>
    <w:rsid w:val="004129F9"/>
    <w:rsid w:val="00413249"/>
    <w:rsid w:val="004137A4"/>
    <w:rsid w:val="004138BA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5FD5"/>
    <w:rsid w:val="0043603B"/>
    <w:rsid w:val="00436829"/>
    <w:rsid w:val="004379C1"/>
    <w:rsid w:val="004406FF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1977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1BB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3237"/>
    <w:rsid w:val="004C4A9C"/>
    <w:rsid w:val="004C6159"/>
    <w:rsid w:val="004C756A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745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1892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061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879"/>
    <w:rsid w:val="00542AB8"/>
    <w:rsid w:val="005432D4"/>
    <w:rsid w:val="00544421"/>
    <w:rsid w:val="00544FA3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F99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5F7BF3"/>
    <w:rsid w:val="00600CD7"/>
    <w:rsid w:val="0060146C"/>
    <w:rsid w:val="00601752"/>
    <w:rsid w:val="00603B7D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4679"/>
    <w:rsid w:val="00625B14"/>
    <w:rsid w:val="006268AF"/>
    <w:rsid w:val="00630182"/>
    <w:rsid w:val="00631AC7"/>
    <w:rsid w:val="00631D2A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743"/>
    <w:rsid w:val="00665FBD"/>
    <w:rsid w:val="00667F6D"/>
    <w:rsid w:val="0067003C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559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7C1"/>
    <w:rsid w:val="00707FA4"/>
    <w:rsid w:val="00710709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27653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0DE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20BE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31F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5B9D"/>
    <w:rsid w:val="007D75AE"/>
    <w:rsid w:val="007E175D"/>
    <w:rsid w:val="007E20A7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2FDC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FB4"/>
    <w:rsid w:val="00823EAA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132"/>
    <w:rsid w:val="008405AC"/>
    <w:rsid w:val="00840701"/>
    <w:rsid w:val="008415EA"/>
    <w:rsid w:val="00841C1D"/>
    <w:rsid w:val="00842ABE"/>
    <w:rsid w:val="008444B4"/>
    <w:rsid w:val="0084458F"/>
    <w:rsid w:val="0084485E"/>
    <w:rsid w:val="008450FF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968EA"/>
    <w:rsid w:val="00896968"/>
    <w:rsid w:val="008978CD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895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69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1B36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11A8"/>
    <w:rsid w:val="009919FA"/>
    <w:rsid w:val="0099287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A7D5B"/>
    <w:rsid w:val="009B048B"/>
    <w:rsid w:val="009B15CB"/>
    <w:rsid w:val="009B200F"/>
    <w:rsid w:val="009B2E55"/>
    <w:rsid w:val="009B3210"/>
    <w:rsid w:val="009B37DE"/>
    <w:rsid w:val="009B4DF1"/>
    <w:rsid w:val="009C0230"/>
    <w:rsid w:val="009C1263"/>
    <w:rsid w:val="009C54EF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0B6"/>
    <w:rsid w:val="009F146A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6E89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862"/>
    <w:rsid w:val="00A34DB4"/>
    <w:rsid w:val="00A35745"/>
    <w:rsid w:val="00A406C0"/>
    <w:rsid w:val="00A40A0D"/>
    <w:rsid w:val="00A41035"/>
    <w:rsid w:val="00A420BF"/>
    <w:rsid w:val="00A447C4"/>
    <w:rsid w:val="00A4597F"/>
    <w:rsid w:val="00A45D39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49B7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9EA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3AA9"/>
    <w:rsid w:val="00B04064"/>
    <w:rsid w:val="00B06EEB"/>
    <w:rsid w:val="00B072BA"/>
    <w:rsid w:val="00B076FB"/>
    <w:rsid w:val="00B10929"/>
    <w:rsid w:val="00B11B3B"/>
    <w:rsid w:val="00B1206D"/>
    <w:rsid w:val="00B124F0"/>
    <w:rsid w:val="00B1299E"/>
    <w:rsid w:val="00B12AD3"/>
    <w:rsid w:val="00B13509"/>
    <w:rsid w:val="00B1382F"/>
    <w:rsid w:val="00B153D3"/>
    <w:rsid w:val="00B15979"/>
    <w:rsid w:val="00B17345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1D5"/>
    <w:rsid w:val="00B73AF3"/>
    <w:rsid w:val="00B73BEC"/>
    <w:rsid w:val="00B74BD0"/>
    <w:rsid w:val="00B763EE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19E4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657C"/>
    <w:rsid w:val="00BD7AF5"/>
    <w:rsid w:val="00BD7B69"/>
    <w:rsid w:val="00BE0937"/>
    <w:rsid w:val="00BE0C38"/>
    <w:rsid w:val="00BE1900"/>
    <w:rsid w:val="00BE4076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E7"/>
    <w:rsid w:val="00C30C47"/>
    <w:rsid w:val="00C318EC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92F"/>
    <w:rsid w:val="00C52D55"/>
    <w:rsid w:val="00C53B80"/>
    <w:rsid w:val="00C54738"/>
    <w:rsid w:val="00C55FFC"/>
    <w:rsid w:val="00C562B2"/>
    <w:rsid w:val="00C57371"/>
    <w:rsid w:val="00C609FA"/>
    <w:rsid w:val="00C60A57"/>
    <w:rsid w:val="00C63140"/>
    <w:rsid w:val="00C6343D"/>
    <w:rsid w:val="00C65BD8"/>
    <w:rsid w:val="00C65FAB"/>
    <w:rsid w:val="00C66892"/>
    <w:rsid w:val="00C67734"/>
    <w:rsid w:val="00C70AC6"/>
    <w:rsid w:val="00C72DE3"/>
    <w:rsid w:val="00C74331"/>
    <w:rsid w:val="00C74632"/>
    <w:rsid w:val="00C750BA"/>
    <w:rsid w:val="00C762EC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3162"/>
    <w:rsid w:val="00CC341E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98F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06E2B"/>
    <w:rsid w:val="00D103FD"/>
    <w:rsid w:val="00D104F0"/>
    <w:rsid w:val="00D1053E"/>
    <w:rsid w:val="00D10709"/>
    <w:rsid w:val="00D109AB"/>
    <w:rsid w:val="00D110BC"/>
    <w:rsid w:val="00D12D52"/>
    <w:rsid w:val="00D13A50"/>
    <w:rsid w:val="00D1632B"/>
    <w:rsid w:val="00D16936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75D6"/>
    <w:rsid w:val="00D60E47"/>
    <w:rsid w:val="00D6159E"/>
    <w:rsid w:val="00D62972"/>
    <w:rsid w:val="00D63636"/>
    <w:rsid w:val="00D65E9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A722A"/>
    <w:rsid w:val="00DA7B86"/>
    <w:rsid w:val="00DB27B0"/>
    <w:rsid w:val="00DB37F0"/>
    <w:rsid w:val="00DB44D9"/>
    <w:rsid w:val="00DB522D"/>
    <w:rsid w:val="00DB73FE"/>
    <w:rsid w:val="00DB7DBD"/>
    <w:rsid w:val="00DC0D5F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E7586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2A8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060"/>
    <w:rsid w:val="00EC5823"/>
    <w:rsid w:val="00EC60EF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3F58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6E5"/>
    <w:rsid w:val="00F70BCF"/>
    <w:rsid w:val="00F7101A"/>
    <w:rsid w:val="00F71651"/>
    <w:rsid w:val="00F72BB3"/>
    <w:rsid w:val="00F73DFC"/>
    <w:rsid w:val="00F75ED7"/>
    <w:rsid w:val="00F811EC"/>
    <w:rsid w:val="00F8132F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375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4BD4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conom\!&#1040;&#1056;&#1061;&#1048;&#1042;\13%20&#1057;&#1090;&#1072;&#1090;&#1080;&#1089;&#1090;&#1080;&#1082;&#1072;\&#1054;&#1073;&#1079;&#1086;&#1088;\2019\&#1103;&#1085;&#1074;&#1072;&#1088;&#1100;-&#1076;&#1077;&#1082;&#1072;&#1073;&#1088;&#1100;\&#1086;&#1073;&#1079;&#1086;&#1088;%20&#1079;&#1072;%20&#1103;&#1085;&#1074;&#1072;&#1088;&#1100;-&#1076;&#1077;&#1082;&#1072;&#1073;&#1088;&#1100;%201%202019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9360764832706E-2"/>
          <c:y val="0.10233600167699509"/>
          <c:w val="0.80952158841237731"/>
          <c:h val="0.63280097475336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4204523396652E-3"/>
                  <c:y val="4.814175274262974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352884912724924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275966945222995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985129483240651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6408263546680218E-4"/>
                  <c:y val="7.26833230704730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686243036582375E-4"/>
                  <c:y val="7.039361695904748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1175069385093691E-4"/>
                  <c:y val="0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702249066256292E-2"/>
                  <c:y val="0.1186470386853817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485992965738842E-2"/>
                  <c:y val="0.11984936665525495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4208506194790171E-2"/>
                  <c:y val="-0.12121212121212267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089614802165892E-2"/>
                  <c:y val="0.11651427292518847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773902258202056E-2"/>
                  <c:y val="-8.21061280383430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101.1</c:v>
                </c:pt>
                <c:pt idx="1">
                  <c:v>98.6</c:v>
                </c:pt>
                <c:pt idx="2">
                  <c:v>98.2</c:v>
                </c:pt>
                <c:pt idx="3">
                  <c:v>100.6</c:v>
                </c:pt>
                <c:pt idx="4">
                  <c:v>100.1</c:v>
                </c:pt>
                <c:pt idx="5">
                  <c:v>100.4</c:v>
                </c:pt>
                <c:pt idx="6">
                  <c:v>101.6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7.6975297552841953E-3"/>
                  <c:y val="0.1031599328470398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9208669083274084E-3"/>
                  <c:y val="6.44519253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753625612239772E-3"/>
                  <c:y val="7.832708405234206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3506449991623412E-5"/>
                  <c:y val="6.173962031784320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0112874567625681E-4"/>
                  <c:y val="9.50436669727937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77811623599106E-3"/>
                  <c:y val="0.11397284633788236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090531819665789E-3"/>
                  <c:y val="0.1038964850341753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590516044932128E-2"/>
                  <c:y val="-0.1163939290197420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834178358227686E-2"/>
                  <c:y val="-0.145303663129065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88170002846103E-2"/>
                  <c:y val="-0.1098024374860135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97.4</c:v>
                </c:pt>
              </c:numCache>
            </c:numRef>
          </c:val>
        </c:ser>
        <c:axId val="125064704"/>
        <c:axId val="125066240"/>
      </c:barChart>
      <c:catAx>
        <c:axId val="1250647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99" spc="0" baseline="0"/>
            </a:pPr>
            <a:endParaRPr lang="ru-RU"/>
          </a:p>
        </c:txPr>
        <c:crossAx val="125066240"/>
        <c:crossesAt val="97"/>
        <c:auto val="1"/>
        <c:lblAlgn val="ctr"/>
        <c:lblOffset val="0"/>
      </c:catAx>
      <c:valAx>
        <c:axId val="125066240"/>
        <c:scaling>
          <c:orientation val="minMax"/>
          <c:max val="103"/>
          <c:min val="97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25064704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3881"/>
          <c:y val="0.15047769028871388"/>
          <c:w val="9.9524264174540647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6024525161499726E-2"/>
          <c:y val="0.15930397198783849"/>
          <c:w val="0.72741117110090758"/>
          <c:h val="0.58445517875988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янв.-июль 2019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2.5039710391737552E-3"/>
                  <c:y val="3.916546228765287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606717638556134E-4"/>
                  <c:y val="7.394541488315357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63444786792954E-3"/>
                  <c:y val="7.93764526817261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202933324322483E-3"/>
                  <c:y val="2.5120348328551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24977210520867E-3"/>
                  <c:y val="2.96638813109372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109.3</c:v>
                </c:pt>
                <c:pt idx="1">
                  <c:v>96</c:v>
                </c:pt>
                <c:pt idx="2">
                  <c:v>101.2</c:v>
                </c:pt>
                <c:pt idx="3">
                  <c:v>109.3</c:v>
                </c:pt>
                <c:pt idx="4">
                  <c:v>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янв.-июль 2020 г.</c:v>
                </c:pt>
              </c:strCache>
            </c:strRef>
          </c:tx>
          <c:spPr>
            <a:solidFill>
              <a:srgbClr val="0070C0"/>
            </a:solidFill>
            <a:ln w="12698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7.5967385788259754E-3"/>
                  <c:y val="2.844081215145955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163728456026834E-3"/>
                  <c:y val="1.54974495811485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856762003462025E-4"/>
                  <c:y val="2.269507009298259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92533975100782E-3"/>
                  <c:y val="4.180968121598438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3830043352290492E-3"/>
                  <c:y val="3.48244576102255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102.9</c:v>
                </c:pt>
                <c:pt idx="1">
                  <c:v>104.7</c:v>
                </c:pt>
                <c:pt idx="2">
                  <c:v>103.9</c:v>
                </c:pt>
                <c:pt idx="3">
                  <c:v>78.900000000000006</c:v>
                </c:pt>
                <c:pt idx="4">
                  <c:v>94.8</c:v>
                </c:pt>
              </c:numCache>
            </c:numRef>
          </c:val>
        </c:ser>
        <c:axId val="127111552"/>
        <c:axId val="127113088"/>
      </c:barChart>
      <c:catAx>
        <c:axId val="12711155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113088"/>
        <c:crossesAt val="75"/>
        <c:auto val="1"/>
        <c:lblAlgn val="ctr"/>
        <c:lblOffset val="1"/>
        <c:tickLblSkip val="1"/>
        <c:tickMarkSkip val="3"/>
      </c:catAx>
      <c:valAx>
        <c:axId val="127113088"/>
        <c:scaling>
          <c:orientation val="minMax"/>
          <c:max val="112"/>
          <c:min val="75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111552"/>
        <c:crosses val="autoZero"/>
        <c:crossBetween val="between"/>
        <c:majorUnit val="7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5118688924295816"/>
          <c:y val="0.25630608106994468"/>
          <c:w val="0.14718568557176354"/>
          <c:h val="0.37773296481694246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9432879525305121E-2"/>
          <c:y val="0.12318083463129754"/>
          <c:w val="0.58212673308463458"/>
          <c:h val="0.6613038679483803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-8.1799781968143852E-3"/>
                  <c:y val="6.5771009505680763E-4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1347421413458902E-3"/>
                  <c:y val="4.659369623311492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01.08.2019</c:v>
                </c:pt>
                <c:pt idx="1">
                  <c:v>на 01.08.2020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4156.4000000000005</c:v>
                </c:pt>
                <c:pt idx="1">
                  <c:v>3934.9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0"/>
                  <c:y val="1.5362838769508629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898280942305212E-3"/>
                  <c:y val="5.468999768154143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01.08.2019</c:v>
                </c:pt>
                <c:pt idx="1">
                  <c:v>на 01.08.2020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4045.1</c:v>
                </c:pt>
                <c:pt idx="1">
                  <c:v>3808.2</c:v>
                </c:pt>
              </c:numCache>
            </c:numRef>
          </c:val>
        </c:ser>
        <c:axId val="134565248"/>
        <c:axId val="134612096"/>
      </c:barChart>
      <c:catAx>
        <c:axId val="134565248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4612096"/>
        <c:crossesAt val="1000"/>
        <c:lblAlgn val="ctr"/>
        <c:lblOffset val="0"/>
        <c:tickLblSkip val="1"/>
      </c:catAx>
      <c:valAx>
        <c:axId val="134612096"/>
        <c:scaling>
          <c:orientation val="minMax"/>
          <c:max val="4500"/>
          <c:min val="10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34565248"/>
        <c:crosses val="autoZero"/>
        <c:crossBetween val="between"/>
        <c:majorUnit val="800"/>
        <c:minorUnit val="8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1135611315989444"/>
          <c:y val="0.17525521074571571"/>
          <c:w val="0.51251609571636125"/>
          <c:h val="0.511880132808473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0450661875252101E-3"/>
                  <c:y val="8.6598633438736954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2052900893568865E-4"/>
                  <c:y val="7.223954053173076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12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7666E-3"/>
                  <c:y val="-1.951674222540364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46E-2"/>
                  <c:y val="-2.698671756939672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янв.- июль 2019 г.</c:v>
                </c:pt>
                <c:pt idx="1">
                  <c:v>янв.- июль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199.3</c:v>
                </c:pt>
                <c:pt idx="1">
                  <c:v>186.4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4.1777740601599457E-4"/>
                  <c:y val="9.590963974345437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2595450848041161E-3"/>
                  <c:y val="8.022904548313496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069E-2"/>
                  <c:y val="1.08244651236777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17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637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янв.- июль 2019 г.</c:v>
                </c:pt>
                <c:pt idx="1">
                  <c:v>янв.- июль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55.8</c:v>
                </c:pt>
                <c:pt idx="1">
                  <c:v>46.8</c:v>
                </c:pt>
              </c:numCache>
            </c:numRef>
          </c:val>
        </c:ser>
        <c:axId val="134678784"/>
        <c:axId val="118034432"/>
      </c:barChart>
      <c:catAx>
        <c:axId val="134678784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8034432"/>
        <c:crossesAt val="0"/>
        <c:lblAlgn val="ctr"/>
        <c:lblOffset val="0"/>
        <c:tickLblSkip val="1"/>
      </c:catAx>
      <c:valAx>
        <c:axId val="118034432"/>
        <c:scaling>
          <c:orientation val="minMax"/>
          <c:max val="210"/>
          <c:min val="0"/>
        </c:scaling>
        <c:axPos val="l"/>
        <c:numFmt formatCode="General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34678784"/>
        <c:crosses val="autoZero"/>
        <c:crossBetween val="between"/>
        <c:majorUnit val="50"/>
        <c:minorUnit val="30"/>
      </c:valAx>
    </c:plotArea>
    <c:legend>
      <c:legendPos val="r"/>
      <c:layout>
        <c:manualLayout>
          <c:xMode val="edge"/>
          <c:yMode val="edge"/>
          <c:x val="0.82732012421392753"/>
          <c:y val="0.1941160564939067"/>
          <c:w val="0.16113368998218372"/>
          <c:h val="0.45204557745274382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044453193350833"/>
          <c:h val="0.6772114200010794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68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116E-3"/>
                  <c:y val="9.3706143874875119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17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7744E-3"/>
                  <c:y val="-1.951674222540364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488E-2"/>
                  <c:y val="-2.698671756939680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январь-июнь 2020 г.</c:v>
                </c:pt>
                <c:pt idx="1">
                  <c:v>январь-июнь 2019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11.5</c:v>
                </c:pt>
                <c:pt idx="1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8959E-4"/>
                  <c:y val="-1.97097963386547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9388236339814E-4"/>
                  <c:y val="-1.142238047701773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124E-2"/>
                  <c:y val="1.08244651236777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231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671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январь-июнь 2020 г.</c:v>
                </c:pt>
                <c:pt idx="1">
                  <c:v>январь-июнь 2019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9.1</c:v>
                </c:pt>
                <c:pt idx="1">
                  <c:v>10</c:v>
                </c:pt>
              </c:numCache>
            </c:numRef>
          </c:val>
        </c:ser>
        <c:gapWidth val="41"/>
        <c:overlap val="-2"/>
        <c:axId val="134697728"/>
        <c:axId val="134699264"/>
      </c:barChart>
      <c:catAx>
        <c:axId val="134697728"/>
        <c:scaling>
          <c:orientation val="minMax"/>
        </c:scaling>
        <c:axPos val="l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4699264"/>
        <c:crossesAt val="6"/>
        <c:lblAlgn val="ctr"/>
        <c:lblOffset val="0"/>
        <c:tickLblSkip val="1"/>
      </c:catAx>
      <c:valAx>
        <c:axId val="134699264"/>
        <c:scaling>
          <c:orientation val="minMax"/>
          <c:max val="12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3469772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575696654917"/>
          <c:w val="0.13376424961805156"/>
          <c:h val="0.5033115541408385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601"/>
          <c:h val="0.440276684228049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376262986724709E-3"/>
                  <c:y val="5.51187906049481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4293714359485573E-3"/>
                  <c:y val="4.039822237253041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1670820970176586E-3"/>
                  <c:y val="6.67160505627374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0369359756421275E-4"/>
                  <c:y val="6.678396390028812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57026884429954E-3"/>
                  <c:y val="9.27432083518313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3201220925810167E-3"/>
                  <c:y val="6.097485823090785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353165868676099E-2"/>
                  <c:y val="-0.161464513905458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5645353714949857E-2"/>
                  <c:y val="-9.98075240594942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7582730112626413E-2"/>
                  <c:y val="-0.1249460484106171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8.4</c:v>
                </c:pt>
                <c:pt idx="1">
                  <c:v>8.4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8.3000000000000007</c:v>
                </c:pt>
                <c:pt idx="5">
                  <c:v>8.3000000000000007</c:v>
                </c:pt>
                <c:pt idx="6">
                  <c:v>8.3000000000000007</c:v>
                </c:pt>
                <c:pt idx="7">
                  <c:v>8.8000000000000007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-3.0184370020871847E-4"/>
                  <c:y val="4.376693699063911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7553011690740533E-3"/>
                  <c:y val="5.972595790552819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03516880331164E-3"/>
                  <c:y val="5.41244859419847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5292647322209585E-4"/>
                  <c:y val="3.732912001099127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9920461629236555E-3"/>
                  <c:y val="3.530990490875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5664379956185112E-3"/>
                  <c:y val="2.30062719224882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5184046504763496E-3"/>
                  <c:y val="4.264706067302116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7730929019443999E-3"/>
                  <c:y val="7.8261317946350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74442351766549E-2"/>
                  <c:y val="0.12358015854078849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7157109684056428E-2"/>
                  <c:y val="0.1152416553991357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5710778088222861E-2"/>
                  <c:y val="-0.11386834221479779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8.7000000000000011</c:v>
                </c:pt>
              </c:numCache>
            </c:numRef>
          </c:val>
        </c:ser>
        <c:axId val="135925120"/>
        <c:axId val="135984256"/>
      </c:barChart>
      <c:catAx>
        <c:axId val="135925120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984256"/>
        <c:crossesAt val="0"/>
        <c:auto val="1"/>
        <c:lblAlgn val="ctr"/>
        <c:lblOffset val="100"/>
      </c:catAx>
      <c:valAx>
        <c:axId val="135984256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925120"/>
        <c:crosses val="autoZero"/>
        <c:crossBetween val="between"/>
        <c:majorUnit val="4"/>
        <c:minorUnit val="2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2010583230537637"/>
          <c:y val="0.2736193050495575"/>
          <c:w val="0.16856265587592267"/>
          <c:h val="0.4527582559642733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D39F0-9FFE-4968-B661-5BBEC7AE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обзор за январь-декабрь 1 2019</Template>
  <TotalTime>596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22</cp:revision>
  <cp:lastPrinted>2020-08-27T02:52:00Z</cp:lastPrinted>
  <dcterms:created xsi:type="dcterms:W3CDTF">2020-07-20T04:41:00Z</dcterms:created>
  <dcterms:modified xsi:type="dcterms:W3CDTF">2020-08-27T07:32:00Z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