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/>
      <w:r>
        <w:rPr>
          <w:rFonts w:ascii="Roboto Medium" w:hAnsi="Roboto Medium" w:eastAsia="Roboto Medium" w:cs="Roboto Medium"/>
          <w:b/>
          <w:color w:val="333333"/>
          <w:sz w:val="36"/>
          <w:highlight w:val="white"/>
        </w:rPr>
        <w:t xml:space="preserve">Жительница г.Барнаул осуждена за неправомерный оборот средств платежей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Жительница г.Барнаул осуждена по ч.1 ст.187 УК РФ за неправомерный оборот средств платежей.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Суд установил, что подсудимая в 2022 году по предложению другого лица зарегистрировала в налоговой инспекции на свое имя предприятие, в котором она являлась директором и учредителем. Ею на юридическое лицо в банке был открыт расчетный счет, установлена си</w:t>
      </w:r>
      <w:r>
        <w:rPr>
          <w:rFonts w:ascii="Times New Roman" w:hAnsi="Times New Roman" w:eastAsia="Times New Roman" w:cs="Times New Roman"/>
          <w:color w:val="333333"/>
          <w:sz w:val="28"/>
        </w:rPr>
        <w:t xml:space="preserve">стема дистанционного банковского обслуживания с предоставлением электронных носителей информации - банковской карты, логина и пароля. Их она передала для дальнейшего использования другому гражданину, получив от него денежное вознаграждение.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В результате противоправных действий была получена возможность осуществлять операции по счетам юрлица с целью неправомерного приема, выдачи и перевода денежных средств.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333333"/>
          <w:sz w:val="28"/>
        </w:rPr>
        <w:t xml:space="preserve"> Суд виновной назначил наказание в виде 1 года 6 месяцев лишения свободы условно с испытательным сроком 1 год.</w:t>
      </w:r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 Medium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2024-12-24T05:49:09Z</dcterms:modified>
</cp:coreProperties>
</file>