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A17290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4E0C77">
        <w:rPr>
          <w:b/>
          <w:sz w:val="24"/>
          <w:szCs w:val="24"/>
        </w:rPr>
        <w:t>январь-</w:t>
      </w:r>
      <w:r w:rsidR="00D970F6">
        <w:rPr>
          <w:b/>
          <w:sz w:val="24"/>
          <w:szCs w:val="24"/>
        </w:rPr>
        <w:t>октябрь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E6DBB">
        <w:rPr>
          <w:b/>
          <w:sz w:val="24"/>
          <w:szCs w:val="24"/>
        </w:rPr>
        <w:t>3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D970F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</w:t>
            </w:r>
            <w:proofErr w:type="gramStart"/>
            <w:r w:rsidRPr="003947F7">
              <w:rPr>
                <w:spacing w:val="-8"/>
                <w:sz w:val="22"/>
                <w:szCs w:val="22"/>
              </w:rPr>
              <w:t>ь</w:t>
            </w:r>
            <w:r w:rsidR="004E0C77">
              <w:rPr>
                <w:spacing w:val="-8"/>
                <w:sz w:val="22"/>
                <w:szCs w:val="22"/>
              </w:rPr>
              <w:t>-</w:t>
            </w:r>
            <w:proofErr w:type="gramEnd"/>
            <w:r w:rsidR="001B19E9">
              <w:rPr>
                <w:spacing w:val="-8"/>
                <w:sz w:val="22"/>
                <w:szCs w:val="22"/>
              </w:rPr>
              <w:t xml:space="preserve"> </w:t>
            </w:r>
            <w:r w:rsidR="00D970F6">
              <w:rPr>
                <w:spacing w:val="-8"/>
                <w:sz w:val="22"/>
                <w:szCs w:val="22"/>
              </w:rPr>
              <w:t>октябрь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3E6DBB">
              <w:rPr>
                <w:spacing w:val="-4"/>
                <w:sz w:val="22"/>
                <w:szCs w:val="22"/>
              </w:rPr>
              <w:t>22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3E6DBB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2023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D970F6" w:rsidRPr="00693A73" w:rsidTr="00C9019C">
        <w:trPr>
          <w:trHeight w:val="245"/>
          <w:jc w:val="center"/>
        </w:trPr>
        <w:tc>
          <w:tcPr>
            <w:tcW w:w="8449" w:type="dxa"/>
          </w:tcPr>
          <w:p w:rsidR="00D970F6" w:rsidRPr="003947F7" w:rsidRDefault="00D970F6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D970F6" w:rsidRPr="00C62DFC" w:rsidRDefault="00D970F6" w:rsidP="00D970F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108,3</w:t>
            </w:r>
          </w:p>
        </w:tc>
        <w:tc>
          <w:tcPr>
            <w:tcW w:w="934" w:type="dxa"/>
          </w:tcPr>
          <w:p w:rsidR="00D970F6" w:rsidRPr="00C62DFC" w:rsidRDefault="00D970F6" w:rsidP="00B629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104,4</w:t>
            </w:r>
          </w:p>
        </w:tc>
      </w:tr>
      <w:tr w:rsidR="00D970F6" w:rsidRPr="00780EBC" w:rsidTr="00C9019C">
        <w:trPr>
          <w:trHeight w:val="246"/>
          <w:jc w:val="center"/>
        </w:trPr>
        <w:tc>
          <w:tcPr>
            <w:tcW w:w="8449" w:type="dxa"/>
          </w:tcPr>
          <w:p w:rsidR="00D970F6" w:rsidRPr="003947F7" w:rsidRDefault="00D970F6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D970F6" w:rsidRPr="00C00B3D" w:rsidRDefault="00D970F6" w:rsidP="00D970F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519,3</w:t>
            </w:r>
          </w:p>
        </w:tc>
        <w:tc>
          <w:tcPr>
            <w:tcW w:w="934" w:type="dxa"/>
          </w:tcPr>
          <w:p w:rsidR="00D970F6" w:rsidRPr="00C00B3D" w:rsidRDefault="00D970F6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357,7</w:t>
            </w:r>
          </w:p>
        </w:tc>
      </w:tr>
      <w:tr w:rsidR="00D970F6" w:rsidRPr="00780EBC" w:rsidTr="000B5355">
        <w:trPr>
          <w:trHeight w:val="445"/>
          <w:jc w:val="center"/>
        </w:trPr>
        <w:tc>
          <w:tcPr>
            <w:tcW w:w="8449" w:type="dxa"/>
          </w:tcPr>
          <w:p w:rsidR="00D970F6" w:rsidRPr="003947F7" w:rsidRDefault="00D970F6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D970F6" w:rsidRPr="001E33AF" w:rsidRDefault="00D970F6" w:rsidP="00D970F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970F6" w:rsidRPr="001E33AF" w:rsidRDefault="00D970F6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107,1</w:t>
            </w:r>
          </w:p>
        </w:tc>
      </w:tr>
      <w:tr w:rsidR="00D970F6" w:rsidRPr="00780EBC" w:rsidTr="00C9019C">
        <w:trPr>
          <w:trHeight w:val="203"/>
          <w:jc w:val="center"/>
        </w:trPr>
        <w:tc>
          <w:tcPr>
            <w:tcW w:w="8449" w:type="dxa"/>
          </w:tcPr>
          <w:p w:rsidR="00D970F6" w:rsidRPr="003947F7" w:rsidRDefault="00D970F6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D970F6" w:rsidRPr="001E33AF" w:rsidRDefault="00D970F6" w:rsidP="00D970F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111,1</w:t>
            </w:r>
          </w:p>
        </w:tc>
        <w:tc>
          <w:tcPr>
            <w:tcW w:w="934" w:type="dxa"/>
            <w:shd w:val="clear" w:color="auto" w:fill="auto"/>
          </w:tcPr>
          <w:p w:rsidR="00D970F6" w:rsidRPr="001E33AF" w:rsidRDefault="00D970F6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106,7</w:t>
            </w:r>
          </w:p>
        </w:tc>
      </w:tr>
      <w:tr w:rsidR="00D970F6" w:rsidRPr="00780EBC" w:rsidTr="00C9019C">
        <w:trPr>
          <w:trHeight w:val="259"/>
          <w:jc w:val="center"/>
        </w:trPr>
        <w:tc>
          <w:tcPr>
            <w:tcW w:w="8449" w:type="dxa"/>
          </w:tcPr>
          <w:p w:rsidR="00D970F6" w:rsidRPr="003947F7" w:rsidRDefault="00D970F6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D970F6" w:rsidRPr="001E33AF" w:rsidRDefault="00D970F6" w:rsidP="00D970F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</w:t>
            </w:r>
          </w:p>
        </w:tc>
        <w:tc>
          <w:tcPr>
            <w:tcW w:w="934" w:type="dxa"/>
            <w:shd w:val="clear" w:color="auto" w:fill="auto"/>
          </w:tcPr>
          <w:p w:rsidR="00D970F6" w:rsidRPr="001E33AF" w:rsidRDefault="00D970F6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107,1</w:t>
            </w:r>
          </w:p>
        </w:tc>
      </w:tr>
      <w:tr w:rsidR="00D970F6" w:rsidRPr="00780EBC" w:rsidTr="00C9019C">
        <w:trPr>
          <w:trHeight w:val="231"/>
          <w:jc w:val="center"/>
        </w:trPr>
        <w:tc>
          <w:tcPr>
            <w:tcW w:w="8449" w:type="dxa"/>
          </w:tcPr>
          <w:p w:rsidR="00D970F6" w:rsidRPr="003947F7" w:rsidRDefault="00D970F6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D970F6" w:rsidRPr="001E33AF" w:rsidRDefault="00D970F6" w:rsidP="00D970F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109,7</w:t>
            </w:r>
          </w:p>
        </w:tc>
        <w:tc>
          <w:tcPr>
            <w:tcW w:w="934" w:type="dxa"/>
            <w:shd w:val="clear" w:color="auto" w:fill="auto"/>
          </w:tcPr>
          <w:p w:rsidR="00D970F6" w:rsidRPr="001E33AF" w:rsidRDefault="00D970F6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107,7</w:t>
            </w:r>
          </w:p>
        </w:tc>
      </w:tr>
      <w:tr w:rsidR="00D970F6" w:rsidRPr="00780EBC" w:rsidTr="00CE66A9">
        <w:trPr>
          <w:trHeight w:val="429"/>
          <w:jc w:val="center"/>
        </w:trPr>
        <w:tc>
          <w:tcPr>
            <w:tcW w:w="8449" w:type="dxa"/>
          </w:tcPr>
          <w:p w:rsidR="00D970F6" w:rsidRPr="003947F7" w:rsidRDefault="00D970F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D970F6" w:rsidRPr="003947F7" w:rsidRDefault="00D970F6" w:rsidP="00A149EC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A149EC">
              <w:rPr>
                <w:i/>
                <w:sz w:val="22"/>
                <w:szCs w:val="22"/>
              </w:rPr>
              <w:t>сентябрь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D970F6" w:rsidRPr="001E33AF" w:rsidRDefault="00D970F6" w:rsidP="00D970F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48 151</w:t>
            </w:r>
          </w:p>
        </w:tc>
        <w:tc>
          <w:tcPr>
            <w:tcW w:w="934" w:type="dxa"/>
            <w:vAlign w:val="center"/>
          </w:tcPr>
          <w:p w:rsidR="00D970F6" w:rsidRPr="001E33AF" w:rsidRDefault="00D970F6" w:rsidP="00A149E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55 8</w:t>
            </w:r>
            <w:r w:rsidR="00A149EC">
              <w:rPr>
                <w:spacing w:val="-4"/>
                <w:sz w:val="24"/>
                <w:szCs w:val="24"/>
              </w:rPr>
              <w:t>91</w:t>
            </w:r>
          </w:p>
        </w:tc>
      </w:tr>
      <w:tr w:rsidR="00D970F6" w:rsidRPr="00780EBC" w:rsidTr="004E0C77">
        <w:trPr>
          <w:trHeight w:val="429"/>
          <w:jc w:val="center"/>
        </w:trPr>
        <w:tc>
          <w:tcPr>
            <w:tcW w:w="8449" w:type="dxa"/>
          </w:tcPr>
          <w:p w:rsidR="00D970F6" w:rsidRPr="003947F7" w:rsidRDefault="00D970F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D970F6" w:rsidRPr="003947F7" w:rsidRDefault="00D970F6" w:rsidP="002E4383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A149EC">
              <w:rPr>
                <w:i/>
                <w:sz w:val="22"/>
                <w:szCs w:val="22"/>
              </w:rPr>
              <w:t>-сентябрь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D970F6" w:rsidRPr="0098518B" w:rsidRDefault="00D970F6" w:rsidP="00D970F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67 533,8</w:t>
            </w:r>
          </w:p>
        </w:tc>
        <w:tc>
          <w:tcPr>
            <w:tcW w:w="934" w:type="dxa"/>
            <w:vAlign w:val="center"/>
          </w:tcPr>
          <w:p w:rsidR="00D970F6" w:rsidRPr="0098518B" w:rsidRDefault="00A149EC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78 322,2</w:t>
            </w:r>
          </w:p>
        </w:tc>
      </w:tr>
      <w:tr w:rsidR="00D970F6" w:rsidRPr="00115E06" w:rsidTr="000373AC">
        <w:trPr>
          <w:trHeight w:val="246"/>
          <w:jc w:val="center"/>
        </w:trPr>
        <w:tc>
          <w:tcPr>
            <w:tcW w:w="8449" w:type="dxa"/>
          </w:tcPr>
          <w:p w:rsidR="00D970F6" w:rsidRPr="003947F7" w:rsidRDefault="00D970F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D970F6" w:rsidRPr="007F60D8" w:rsidRDefault="00D970F6" w:rsidP="00D970F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0,26</w:t>
            </w:r>
          </w:p>
        </w:tc>
        <w:tc>
          <w:tcPr>
            <w:tcW w:w="934" w:type="dxa"/>
            <w:vAlign w:val="center"/>
          </w:tcPr>
          <w:p w:rsidR="00D970F6" w:rsidRPr="007F60D8" w:rsidRDefault="00D970F6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0,1</w:t>
            </w:r>
            <w:r w:rsidR="00A149EC">
              <w:rPr>
                <w:spacing w:val="-4"/>
                <w:sz w:val="24"/>
                <w:szCs w:val="24"/>
              </w:rPr>
              <w:t>8</w:t>
            </w:r>
          </w:p>
        </w:tc>
      </w:tr>
      <w:tr w:rsidR="00D970F6" w:rsidRPr="00780EBC" w:rsidTr="000B5355">
        <w:trPr>
          <w:trHeight w:val="259"/>
          <w:jc w:val="center"/>
        </w:trPr>
        <w:tc>
          <w:tcPr>
            <w:tcW w:w="8449" w:type="dxa"/>
          </w:tcPr>
          <w:p w:rsidR="00D970F6" w:rsidRPr="003947F7" w:rsidRDefault="00D970F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D970F6" w:rsidRPr="007F60D8" w:rsidRDefault="00D970F6" w:rsidP="00D970F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D970F6" w:rsidRPr="007F60D8" w:rsidRDefault="00D970F6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</w:tbl>
    <w:p w:rsidR="0022381A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A149EC" w:rsidRPr="00A149EC" w:rsidRDefault="00E81171" w:rsidP="00A149EC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A149EC">
        <w:rPr>
          <w:spacing w:val="-4"/>
          <w:sz w:val="24"/>
          <w:szCs w:val="24"/>
        </w:rPr>
        <w:t>104,4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52522E">
        <w:rPr>
          <w:spacing w:val="-4"/>
          <w:sz w:val="24"/>
          <w:szCs w:val="24"/>
        </w:rPr>
        <w:t>107,1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CF7F65">
        <w:rPr>
          <w:spacing w:val="-4"/>
          <w:sz w:val="24"/>
          <w:szCs w:val="24"/>
        </w:rPr>
        <w:t>10</w:t>
      </w:r>
      <w:r w:rsidR="00752030">
        <w:rPr>
          <w:spacing w:val="-4"/>
          <w:sz w:val="24"/>
          <w:szCs w:val="24"/>
        </w:rPr>
        <w:t>3</w:t>
      </w:r>
      <w:r w:rsidR="00A149EC">
        <w:rPr>
          <w:spacing w:val="-4"/>
          <w:sz w:val="24"/>
          <w:szCs w:val="24"/>
        </w:rPr>
        <w:t>,5</w:t>
      </w:r>
      <w:r w:rsidR="00382135">
        <w:rPr>
          <w:spacing w:val="-4"/>
          <w:sz w:val="24"/>
          <w:szCs w:val="24"/>
        </w:rPr>
        <w:sym w:font="Symbol" w:char="F025"/>
      </w:r>
      <w:r w:rsidR="008139BB" w:rsidRPr="00862A97">
        <w:rPr>
          <w:spacing w:val="-4"/>
          <w:sz w:val="24"/>
          <w:szCs w:val="24"/>
        </w:rPr>
        <w:t>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A149EC">
        <w:rPr>
          <w:spacing w:val="-4"/>
          <w:sz w:val="24"/>
          <w:szCs w:val="24"/>
        </w:rPr>
        <w:t>103</w:t>
      </w:r>
      <w:r w:rsidR="0052522E">
        <w:rPr>
          <w:spacing w:val="-4"/>
          <w:sz w:val="24"/>
          <w:szCs w:val="24"/>
        </w:rPr>
        <w:t>,7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A149EC">
        <w:rPr>
          <w:spacing w:val="-4"/>
          <w:sz w:val="24"/>
          <w:szCs w:val="24"/>
        </w:rPr>
        <w:t>101,2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A149EC">
        <w:rPr>
          <w:spacing w:val="-4"/>
          <w:sz w:val="24"/>
          <w:szCs w:val="24"/>
        </w:rPr>
        <w:t>131,7</w:t>
      </w:r>
      <w:r w:rsidR="00382135">
        <w:rPr>
          <w:spacing w:val="-4"/>
          <w:sz w:val="24"/>
          <w:szCs w:val="24"/>
        </w:rPr>
        <w:sym w:font="Symbol" w:char="F025"/>
      </w:r>
      <w:r w:rsidRPr="00DB27B0">
        <w:rPr>
          <w:spacing w:val="-4"/>
          <w:sz w:val="24"/>
          <w:szCs w:val="24"/>
        </w:rPr>
        <w:t xml:space="preserve">. </w:t>
      </w:r>
    </w:p>
    <w:p w:rsidR="00C94541" w:rsidRDefault="00E81171" w:rsidP="00A149EC">
      <w:pPr>
        <w:tabs>
          <w:tab w:val="left" w:pos="1512"/>
        </w:tabs>
        <w:ind w:right="-143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382135">
        <w:rPr>
          <w:noProof/>
          <w:sz w:val="24"/>
          <w:szCs w:val="24"/>
          <w:lang w:eastAsia="ru-RU"/>
        </w:rPr>
        <w:sym w:font="Symbol" w:char="F025"/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6791325" cy="10287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DB27B0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A425F6" w:rsidTr="005F6B03">
        <w:tc>
          <w:tcPr>
            <w:tcW w:w="6912" w:type="dxa"/>
          </w:tcPr>
          <w:p w:rsidR="00A425F6" w:rsidRPr="0039326F" w:rsidRDefault="0039326F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A425F6" w:rsidRDefault="0039326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157,4</w:t>
            </w:r>
          </w:p>
        </w:tc>
      </w:tr>
      <w:tr w:rsidR="007862C5" w:rsidTr="005F6B03">
        <w:tc>
          <w:tcPr>
            <w:tcW w:w="6912" w:type="dxa"/>
          </w:tcPr>
          <w:p w:rsidR="007862C5" w:rsidRDefault="0039326F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7862C5" w:rsidRDefault="0039326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127,1</w:t>
            </w:r>
          </w:p>
        </w:tc>
      </w:tr>
      <w:tr w:rsidR="00824327" w:rsidTr="005F6B03">
        <w:tc>
          <w:tcPr>
            <w:tcW w:w="6912" w:type="dxa"/>
          </w:tcPr>
          <w:p w:rsidR="00824327" w:rsidRDefault="0039326F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824327" w:rsidRDefault="0039326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126,6</w:t>
            </w:r>
          </w:p>
        </w:tc>
      </w:tr>
      <w:tr w:rsidR="00824327" w:rsidTr="005F6B03">
        <w:tc>
          <w:tcPr>
            <w:tcW w:w="6912" w:type="dxa"/>
          </w:tcPr>
          <w:p w:rsidR="00824327" w:rsidRDefault="0039326F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лекарственные средства</w:t>
            </w:r>
          </w:p>
        </w:tc>
        <w:tc>
          <w:tcPr>
            <w:tcW w:w="3509" w:type="dxa"/>
            <w:vAlign w:val="center"/>
          </w:tcPr>
          <w:p w:rsidR="00824327" w:rsidRDefault="0039326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123,2</w:t>
            </w:r>
          </w:p>
        </w:tc>
      </w:tr>
      <w:tr w:rsidR="00824327" w:rsidTr="005F6B03">
        <w:tc>
          <w:tcPr>
            <w:tcW w:w="6912" w:type="dxa"/>
          </w:tcPr>
          <w:p w:rsidR="00824327" w:rsidRDefault="0039326F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химические</w:t>
            </w:r>
            <w:r w:rsidRPr="00AE781F">
              <w:rPr>
                <w:spacing w:val="-4"/>
              </w:rPr>
              <w:t xml:space="preserve"> веществ</w:t>
            </w:r>
            <w:r>
              <w:rPr>
                <w:spacing w:val="-4"/>
              </w:rPr>
              <w:t>а и химические</w:t>
            </w:r>
            <w:r w:rsidRPr="00AE781F">
              <w:rPr>
                <w:spacing w:val="-4"/>
              </w:rPr>
              <w:t xml:space="preserve"> продукт</w:t>
            </w:r>
            <w:r>
              <w:rPr>
                <w:spacing w:val="-4"/>
              </w:rPr>
              <w:t>ы</w:t>
            </w:r>
          </w:p>
        </w:tc>
        <w:tc>
          <w:tcPr>
            <w:tcW w:w="3509" w:type="dxa"/>
            <w:vAlign w:val="center"/>
          </w:tcPr>
          <w:p w:rsidR="00824327" w:rsidRDefault="0039326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122,5</w:t>
            </w:r>
          </w:p>
        </w:tc>
      </w:tr>
      <w:tr w:rsidR="005D3F32" w:rsidTr="005F6B03">
        <w:tc>
          <w:tcPr>
            <w:tcW w:w="6912" w:type="dxa"/>
          </w:tcPr>
          <w:p w:rsidR="004929CD" w:rsidRPr="004929CD" w:rsidRDefault="0039326F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5D3F32" w:rsidRDefault="0039326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119,6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A425F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750140" w:rsidRDefault="0039326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85,2</w:t>
            </w:r>
          </w:p>
        </w:tc>
      </w:tr>
      <w:tr w:rsidR="00824327" w:rsidTr="005F6B03">
        <w:tc>
          <w:tcPr>
            <w:tcW w:w="6912" w:type="dxa"/>
          </w:tcPr>
          <w:p w:rsidR="00824327" w:rsidRDefault="00AE781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824327" w:rsidRDefault="0039326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91,3</w:t>
            </w:r>
          </w:p>
        </w:tc>
      </w:tr>
      <w:tr w:rsidR="00750140" w:rsidTr="005F6B03">
        <w:tc>
          <w:tcPr>
            <w:tcW w:w="6912" w:type="dxa"/>
          </w:tcPr>
          <w:p w:rsidR="00750140" w:rsidRDefault="0039326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бумага и </w:t>
            </w:r>
            <w:proofErr w:type="gramStart"/>
            <w:r>
              <w:rPr>
                <w:spacing w:val="-4"/>
              </w:rPr>
              <w:t>бумажные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иделия</w:t>
            </w:r>
            <w:proofErr w:type="spellEnd"/>
          </w:p>
        </w:tc>
        <w:tc>
          <w:tcPr>
            <w:tcW w:w="3509" w:type="dxa"/>
            <w:vAlign w:val="center"/>
          </w:tcPr>
          <w:p w:rsidR="00750140" w:rsidRDefault="0039326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93,4</w:t>
            </w:r>
          </w:p>
        </w:tc>
      </w:tr>
      <w:tr w:rsidR="00CE3ECE" w:rsidTr="005F6B03">
        <w:tc>
          <w:tcPr>
            <w:tcW w:w="6912" w:type="dxa"/>
          </w:tcPr>
          <w:p w:rsidR="00CE3ECE" w:rsidRDefault="00CD777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CE3ECE" w:rsidRDefault="00CD777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96,6</w:t>
            </w:r>
          </w:p>
        </w:tc>
      </w:tr>
      <w:tr w:rsidR="0089405B" w:rsidTr="005F6B03">
        <w:tc>
          <w:tcPr>
            <w:tcW w:w="6912" w:type="dxa"/>
          </w:tcPr>
          <w:p w:rsidR="00472371" w:rsidRDefault="00CD7770" w:rsidP="00CD7770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прочая неметаллическая минеральная продукция </w:t>
            </w:r>
          </w:p>
        </w:tc>
        <w:tc>
          <w:tcPr>
            <w:tcW w:w="3509" w:type="dxa"/>
            <w:vAlign w:val="center"/>
          </w:tcPr>
          <w:p w:rsidR="0089405B" w:rsidRDefault="00CD777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97,7</w:t>
            </w:r>
          </w:p>
        </w:tc>
      </w:tr>
      <w:tr w:rsidR="00771CAF" w:rsidTr="001724BC">
        <w:trPr>
          <w:trHeight w:val="273"/>
        </w:trPr>
        <w:tc>
          <w:tcPr>
            <w:tcW w:w="6912" w:type="dxa"/>
          </w:tcPr>
          <w:p w:rsidR="00771CAF" w:rsidRDefault="00CD777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771CAF" w:rsidRDefault="00CD777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97,8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3ECE" w:rsidRDefault="00CE3ECE" w:rsidP="0038213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FB5984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CD7770">
        <w:rPr>
          <w:spacing w:val="-2"/>
          <w:sz w:val="24"/>
          <w:szCs w:val="24"/>
        </w:rPr>
        <w:t>янию на 01.11</w:t>
      </w:r>
      <w:r w:rsidR="00D0496F">
        <w:rPr>
          <w:spacing w:val="-2"/>
          <w:sz w:val="24"/>
          <w:szCs w:val="24"/>
        </w:rPr>
        <w:t>.2023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57419F">
        <w:rPr>
          <w:sz w:val="24"/>
          <w:szCs w:val="24"/>
        </w:rPr>
        <w:t>19 061,2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57419F">
        <w:rPr>
          <w:sz w:val="24"/>
          <w:szCs w:val="24"/>
        </w:rPr>
        <w:t>98,8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57419F">
        <w:rPr>
          <w:sz w:val="24"/>
          <w:szCs w:val="24"/>
        </w:rPr>
        <w:t>76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z w:val="24"/>
          <w:szCs w:val="24"/>
        </w:rPr>
        <w:t>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0D5D41">
        <w:rPr>
          <w:sz w:val="24"/>
          <w:szCs w:val="24"/>
        </w:rPr>
        <w:t>8 805,3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0D5D41">
        <w:rPr>
          <w:spacing w:val="-2"/>
          <w:sz w:val="24"/>
          <w:szCs w:val="24"/>
        </w:rPr>
        <w:t>111,8</w:t>
      </w:r>
      <w:r w:rsidR="00382135">
        <w:rPr>
          <w:spacing w:val="-2"/>
          <w:sz w:val="24"/>
          <w:szCs w:val="24"/>
        </w:rPr>
        <w:sym w:font="Symbol" w:char="F025"/>
      </w:r>
      <w:r w:rsidRPr="008A2AA4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к 20</w:t>
      </w:r>
      <w:r w:rsidR="00AA4E52">
        <w:rPr>
          <w:spacing w:val="-2"/>
          <w:sz w:val="24"/>
          <w:szCs w:val="24"/>
        </w:rPr>
        <w:t>22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0D5D41">
        <w:rPr>
          <w:spacing w:val="-2"/>
          <w:sz w:val="24"/>
          <w:szCs w:val="24"/>
        </w:rPr>
        <w:t>83</w:t>
      </w:r>
      <w:r w:rsidR="00382135">
        <w:rPr>
          <w:spacing w:val="-2"/>
          <w:sz w:val="24"/>
          <w:szCs w:val="24"/>
        </w:rPr>
        <w:sym w:font="Symbol" w:char="F025"/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57419F">
        <w:rPr>
          <w:bCs/>
          <w:sz w:val="24"/>
          <w:szCs w:val="24"/>
        </w:rPr>
        <w:t>19 276,4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A4E52">
        <w:rPr>
          <w:sz w:val="24"/>
          <w:szCs w:val="24"/>
        </w:rPr>
        <w:t>к 2022</w:t>
      </w:r>
      <w:r w:rsidR="00AC309B">
        <w:rPr>
          <w:sz w:val="24"/>
          <w:szCs w:val="24"/>
        </w:rPr>
        <w:t xml:space="preserve"> году – </w:t>
      </w:r>
      <w:r w:rsidR="0057419F">
        <w:rPr>
          <w:sz w:val="24"/>
          <w:szCs w:val="24"/>
        </w:rPr>
        <w:t>103,5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57419F">
        <w:rPr>
          <w:sz w:val="24"/>
          <w:szCs w:val="24"/>
        </w:rPr>
        <w:t>73,4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1152525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C41B54">
        <w:rPr>
          <w:sz w:val="24"/>
          <w:szCs w:val="24"/>
        </w:rPr>
        <w:t>363,3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C41B54">
        <w:rPr>
          <w:sz w:val="24"/>
          <w:szCs w:val="24"/>
        </w:rPr>
        <w:t>38,7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C41B54">
        <w:rPr>
          <w:sz w:val="24"/>
          <w:szCs w:val="24"/>
        </w:rPr>
        <w:t>.11</w:t>
      </w:r>
      <w:r w:rsidR="00AB75A1">
        <w:rPr>
          <w:sz w:val="24"/>
          <w:szCs w:val="24"/>
        </w:rPr>
        <w:t>.2022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C41B54">
        <w:rPr>
          <w:sz w:val="24"/>
          <w:szCs w:val="24"/>
        </w:rPr>
        <w:t>384,4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C41B54">
        <w:rPr>
          <w:sz w:val="24"/>
          <w:szCs w:val="24"/>
        </w:rPr>
        <w:t>48,9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C41B54">
        <w:rPr>
          <w:sz w:val="24"/>
          <w:szCs w:val="24"/>
        </w:rPr>
        <w:t>357,7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C41B54">
        <w:rPr>
          <w:sz w:val="24"/>
          <w:szCs w:val="24"/>
        </w:rPr>
        <w:t>50,2</w:t>
      </w:r>
      <w:r w:rsidR="00382135">
        <w:rPr>
          <w:sz w:val="24"/>
          <w:szCs w:val="24"/>
        </w:rPr>
        <w:sym w:font="Symbol" w:char="F025"/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1A76" w:rsidRDefault="007B1A76" w:rsidP="0013329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133296" w:rsidRDefault="00A47649" w:rsidP="00133296">
      <w:pPr>
        <w:tabs>
          <w:tab w:val="left" w:pos="1512"/>
        </w:tabs>
        <w:ind w:right="-1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Потребительский рынок</w:t>
      </w:r>
    </w:p>
    <w:p w:rsidR="00B42553" w:rsidRDefault="000D5D41" w:rsidP="00910B69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0D5D41">
        <w:rPr>
          <w:sz w:val="24"/>
          <w:szCs w:val="24"/>
        </w:rPr>
        <w:t xml:space="preserve">По крупным и средним организациям оборот розничной торговли </w:t>
      </w:r>
      <w:r w:rsidR="00CA7EA5">
        <w:rPr>
          <w:sz w:val="24"/>
          <w:szCs w:val="24"/>
        </w:rPr>
        <w:t xml:space="preserve">в фактических ценах </w:t>
      </w:r>
      <w:r>
        <w:rPr>
          <w:sz w:val="24"/>
          <w:szCs w:val="24"/>
        </w:rPr>
        <w:t>увеличился на 9,8</w:t>
      </w:r>
      <w:r w:rsidRPr="000D5D41">
        <w:rPr>
          <w:sz w:val="24"/>
          <w:szCs w:val="24"/>
        </w:rPr>
        <w:t xml:space="preserve">%, оборот общественного питания </w:t>
      </w:r>
      <w:r>
        <w:rPr>
          <w:sz w:val="24"/>
          <w:szCs w:val="24"/>
        </w:rPr>
        <w:t>–</w:t>
      </w:r>
      <w:r w:rsidRPr="000D5D41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="00CA7EA5">
        <w:rPr>
          <w:sz w:val="24"/>
          <w:szCs w:val="24"/>
        </w:rPr>
        <w:t>24</w:t>
      </w:r>
      <w:r w:rsidR="00CA7EA5">
        <w:rPr>
          <w:sz w:val="24"/>
          <w:szCs w:val="24"/>
        </w:rPr>
        <w:sym w:font="Symbol" w:char="F025"/>
      </w:r>
      <w:r w:rsidRPr="000D5D41">
        <w:rPr>
          <w:sz w:val="24"/>
          <w:szCs w:val="24"/>
        </w:rPr>
        <w:t xml:space="preserve">, объем платных услуг </w:t>
      </w:r>
      <w:r w:rsidR="00CA7EA5">
        <w:rPr>
          <w:sz w:val="24"/>
          <w:szCs w:val="24"/>
        </w:rPr>
        <w:t xml:space="preserve">превышает значение аналогичного периода прошлого года </w:t>
      </w:r>
      <w:r w:rsidR="00CA7EA5" w:rsidRPr="000D5D41">
        <w:rPr>
          <w:sz w:val="24"/>
          <w:szCs w:val="24"/>
        </w:rPr>
        <w:t xml:space="preserve">на </w:t>
      </w:r>
      <w:r w:rsidR="00CA7EA5">
        <w:rPr>
          <w:sz w:val="24"/>
          <w:szCs w:val="24"/>
        </w:rPr>
        <w:t>15</w:t>
      </w:r>
      <w:r w:rsidR="00B80C18">
        <w:rPr>
          <w:sz w:val="24"/>
          <w:szCs w:val="24"/>
        </w:rPr>
        <w:sym w:font="Symbol" w:char="F025"/>
      </w:r>
    </w:p>
    <w:p w:rsidR="00910B69" w:rsidRDefault="00B42553" w:rsidP="00910B69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B4255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5.45pt;margin-top:6.95pt;width:342.85pt;height:29.25pt;z-index:251664896;mso-width-relative:margin;mso-height-relative:margin" strokecolor="white [3212]">
            <v:textbox>
              <w:txbxContent>
                <w:p w:rsidR="00566F4F" w:rsidRPr="00B42553" w:rsidRDefault="00566F4F" w:rsidP="00B4255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Основные показатели рынка</w:t>
                  </w:r>
                  <w:r w:rsidRPr="00B42553">
                    <w:rPr>
                      <w:sz w:val="24"/>
                      <w:szCs w:val="24"/>
                    </w:rPr>
                    <w:t xml:space="preserve"> товаров и услуг, </w:t>
                  </w:r>
                  <w:proofErr w:type="spellStart"/>
                  <w:proofErr w:type="gramStart"/>
                  <w:r w:rsidRPr="00B42553">
                    <w:rPr>
                      <w:sz w:val="24"/>
                      <w:szCs w:val="24"/>
                    </w:rPr>
                    <w:t>млрд</w:t>
                  </w:r>
                  <w:proofErr w:type="spellEnd"/>
                  <w:proofErr w:type="gramEnd"/>
                  <w:r w:rsidRPr="00B42553">
                    <w:rPr>
                      <w:sz w:val="24"/>
                      <w:szCs w:val="24"/>
                    </w:rPr>
                    <w:t xml:space="preserve"> рублей</w:t>
                  </w:r>
                </w:p>
              </w:txbxContent>
            </v:textbox>
          </v:shape>
        </w:pict>
      </w:r>
    </w:p>
    <w:p w:rsidR="00CA7EA5" w:rsidRDefault="0078087D" w:rsidP="0029568E">
      <w:pPr>
        <w:tabs>
          <w:tab w:val="left" w:pos="1512"/>
        </w:tabs>
        <w:ind w:right="-14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47850" cy="1647825"/>
            <wp:effectExtent l="0" t="0" r="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40CAD">
        <w:rPr>
          <w:noProof/>
          <w:sz w:val="24"/>
          <w:szCs w:val="24"/>
          <w:lang w:eastAsia="ru-RU"/>
        </w:rPr>
        <w:drawing>
          <wp:inline distT="0" distB="0" distL="0" distR="0">
            <wp:extent cx="2114550" cy="1695450"/>
            <wp:effectExtent l="0" t="0" r="0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40CAD">
        <w:rPr>
          <w:noProof/>
          <w:sz w:val="24"/>
          <w:szCs w:val="24"/>
          <w:lang w:eastAsia="ru-RU"/>
        </w:rPr>
        <w:drawing>
          <wp:inline distT="0" distB="0" distL="0" distR="0">
            <wp:extent cx="2457450" cy="14763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0B69" w:rsidRPr="007B1A76" w:rsidRDefault="00910B69" w:rsidP="0013329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705785" w:rsidRDefault="004B014B" w:rsidP="007057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705785">
        <w:rPr>
          <w:sz w:val="24"/>
          <w:szCs w:val="24"/>
        </w:rPr>
        <w:t>-</w:t>
      </w:r>
      <w:r w:rsidR="00C41B54">
        <w:rPr>
          <w:sz w:val="24"/>
          <w:szCs w:val="24"/>
        </w:rPr>
        <w:t>сентябрь</w:t>
      </w:r>
      <w:r w:rsidR="009E4375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20</w:t>
      </w:r>
      <w:r w:rsidR="00AE1106">
        <w:rPr>
          <w:sz w:val="24"/>
          <w:szCs w:val="24"/>
        </w:rPr>
        <w:t>23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BE44D8">
        <w:rPr>
          <w:sz w:val="25"/>
          <w:szCs w:val="25"/>
        </w:rPr>
        <w:t>4 175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0C3313">
        <w:rPr>
          <w:sz w:val="24"/>
          <w:szCs w:val="24"/>
        </w:rPr>
        <w:t>-</w:t>
      </w:r>
      <w:r w:rsidR="00BE44D8">
        <w:rPr>
          <w:sz w:val="24"/>
          <w:szCs w:val="24"/>
        </w:rPr>
        <w:t>сентябрь</w:t>
      </w:r>
      <w:r w:rsidRPr="00F33A7B">
        <w:rPr>
          <w:sz w:val="24"/>
          <w:szCs w:val="24"/>
        </w:rPr>
        <w:t xml:space="preserve"> </w:t>
      </w:r>
      <w:r w:rsidR="00BE44D8">
        <w:rPr>
          <w:sz w:val="24"/>
          <w:szCs w:val="24"/>
        </w:rPr>
        <w:br/>
      </w:r>
      <w:r w:rsidRPr="00F33A7B">
        <w:rPr>
          <w:sz w:val="24"/>
          <w:szCs w:val="24"/>
        </w:rPr>
        <w:t>20</w:t>
      </w:r>
      <w:r w:rsidR="00AE110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BE44D8">
        <w:rPr>
          <w:sz w:val="25"/>
          <w:szCs w:val="25"/>
        </w:rPr>
        <w:t>4 365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BE44D8">
        <w:rPr>
          <w:sz w:val="25"/>
          <w:szCs w:val="25"/>
        </w:rPr>
        <w:t>5 759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 (</w:t>
      </w:r>
      <w:r w:rsidR="00BE44D8">
        <w:rPr>
          <w:sz w:val="25"/>
          <w:szCs w:val="25"/>
        </w:rPr>
        <w:t>6</w:t>
      </w:r>
      <w:r w:rsidR="00F8385E">
        <w:rPr>
          <w:sz w:val="25"/>
          <w:szCs w:val="25"/>
        </w:rPr>
        <w:t xml:space="preserve"> </w:t>
      </w:r>
      <w:r w:rsidR="00BE44D8">
        <w:rPr>
          <w:sz w:val="25"/>
          <w:szCs w:val="25"/>
        </w:rPr>
        <w:t>518</w:t>
      </w:r>
      <w:r w:rsidR="009E4375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F8385E">
        <w:rPr>
          <w:sz w:val="24"/>
          <w:szCs w:val="24"/>
        </w:rPr>
        <w:t>1</w:t>
      </w:r>
      <w:r w:rsidR="00BE44D8">
        <w:rPr>
          <w:sz w:val="24"/>
          <w:szCs w:val="24"/>
        </w:rPr>
        <w:t xml:space="preserve"> 584 </w:t>
      </w:r>
      <w:r w:rsidRPr="00F33A7B">
        <w:rPr>
          <w:sz w:val="24"/>
          <w:szCs w:val="24"/>
        </w:rPr>
        <w:t>человек</w:t>
      </w:r>
      <w:r w:rsidR="00BE44D8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BE44D8">
        <w:rPr>
          <w:sz w:val="24"/>
          <w:szCs w:val="24"/>
        </w:rPr>
        <w:t>сентябрь</w:t>
      </w:r>
      <w:r w:rsidR="00AE1106">
        <w:rPr>
          <w:sz w:val="24"/>
          <w:szCs w:val="24"/>
        </w:rPr>
        <w:t xml:space="preserve"> 2022</w:t>
      </w:r>
      <w:r w:rsidRPr="00F33A7B">
        <w:rPr>
          <w:sz w:val="24"/>
          <w:szCs w:val="24"/>
        </w:rPr>
        <w:t xml:space="preserve"> года – убыль </w:t>
      </w:r>
      <w:r w:rsidR="00BE44D8">
        <w:rPr>
          <w:sz w:val="24"/>
          <w:szCs w:val="24"/>
        </w:rPr>
        <w:t xml:space="preserve">2 153 </w:t>
      </w:r>
      <w:r w:rsidRPr="00F33A7B">
        <w:rPr>
          <w:sz w:val="24"/>
          <w:szCs w:val="24"/>
        </w:rPr>
        <w:t>человек</w:t>
      </w:r>
      <w:r w:rsidR="00BE44D8">
        <w:rPr>
          <w:sz w:val="24"/>
          <w:szCs w:val="24"/>
        </w:rPr>
        <w:t>а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910B69" w:rsidRDefault="00910B69" w:rsidP="009F54AA">
      <w:pPr>
        <w:pStyle w:val="3"/>
        <w:tabs>
          <w:tab w:val="left" w:pos="1418"/>
          <w:tab w:val="left" w:pos="1512"/>
        </w:tabs>
        <w:spacing w:after="0"/>
        <w:ind w:left="0"/>
        <w:rPr>
          <w:sz w:val="24"/>
          <w:szCs w:val="24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lastRenderedPageBreak/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0639F" w:rsidRPr="00C15DB6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</w:t>
      </w:r>
      <w:r w:rsidR="000C3313">
        <w:rPr>
          <w:bCs/>
        </w:rPr>
        <w:t>-</w:t>
      </w:r>
      <w:r w:rsidR="002439CC">
        <w:rPr>
          <w:bCs/>
        </w:rPr>
        <w:t>сентябрь</w:t>
      </w:r>
      <w:r w:rsidR="00AE1106">
        <w:rPr>
          <w:bCs/>
        </w:rPr>
        <w:t xml:space="preserve"> 2023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2439CC">
        <w:rPr>
          <w:bCs/>
        </w:rPr>
        <w:t>10 471</w:t>
      </w:r>
      <w:r w:rsidR="00B80610">
        <w:rPr>
          <w:bCs/>
        </w:rPr>
        <w:t xml:space="preserve"> человек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0C3313">
        <w:rPr>
          <w:bCs/>
        </w:rPr>
        <w:t>-</w:t>
      </w:r>
      <w:r w:rsidR="002439CC">
        <w:rPr>
          <w:bCs/>
        </w:rPr>
        <w:t>сентябрь</w:t>
      </w:r>
      <w:r w:rsidR="00B80610">
        <w:rPr>
          <w:bCs/>
        </w:rPr>
        <w:t xml:space="preserve"> </w:t>
      </w:r>
      <w:r w:rsidR="002439CC">
        <w:rPr>
          <w:bCs/>
        </w:rPr>
        <w:br/>
      </w:r>
      <w:r w:rsidRPr="00FC3259">
        <w:rPr>
          <w:bCs/>
        </w:rPr>
        <w:t>20</w:t>
      </w:r>
      <w:r w:rsidR="00AE1106">
        <w:rPr>
          <w:bCs/>
        </w:rPr>
        <w:t>22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2439CC">
        <w:rPr>
          <w:bCs/>
        </w:rPr>
        <w:t>11 418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2439CC">
        <w:rPr>
          <w:bCs/>
        </w:rPr>
        <w:t>11 368</w:t>
      </w:r>
      <w:r w:rsidRPr="00FC3259">
        <w:rPr>
          <w:bCs/>
        </w:rPr>
        <w:t xml:space="preserve"> человек (</w:t>
      </w:r>
      <w:r w:rsidR="002439CC">
        <w:rPr>
          <w:bCs/>
        </w:rPr>
        <w:t>16 259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890971">
        <w:rPr>
          <w:bCs/>
        </w:rPr>
        <w:t xml:space="preserve">ая убыль </w:t>
      </w:r>
      <w:r w:rsidRPr="00FC3259">
        <w:rPr>
          <w:bCs/>
        </w:rPr>
        <w:t>составил</w:t>
      </w:r>
      <w:r w:rsidR="00890971">
        <w:rPr>
          <w:bCs/>
        </w:rPr>
        <w:t>а</w:t>
      </w:r>
      <w:r w:rsidRPr="00FC3259">
        <w:rPr>
          <w:bCs/>
        </w:rPr>
        <w:t xml:space="preserve"> </w:t>
      </w:r>
      <w:r w:rsidR="002439CC">
        <w:rPr>
          <w:bCs/>
        </w:rPr>
        <w:t>897</w:t>
      </w:r>
      <w:r w:rsidR="00CC5560">
        <w:rPr>
          <w:bCs/>
        </w:rPr>
        <w:t xml:space="preserve"> </w:t>
      </w:r>
      <w:r w:rsidRPr="00FC3259">
        <w:rPr>
          <w:bCs/>
        </w:rPr>
        <w:t>человек (</w:t>
      </w:r>
      <w:r w:rsidR="007B1A76">
        <w:rPr>
          <w:bCs/>
        </w:rPr>
        <w:t>за январь</w:t>
      </w:r>
      <w:r w:rsidR="000C3313">
        <w:rPr>
          <w:bCs/>
        </w:rPr>
        <w:t>-</w:t>
      </w:r>
      <w:r w:rsidR="002439CC">
        <w:rPr>
          <w:bCs/>
        </w:rPr>
        <w:t>сентябрь</w:t>
      </w:r>
      <w:r w:rsidR="00CC5560">
        <w:rPr>
          <w:bCs/>
        </w:rPr>
        <w:t xml:space="preserve"> </w:t>
      </w:r>
      <w:r w:rsidR="00C15DB6">
        <w:rPr>
          <w:bCs/>
        </w:rPr>
        <w:t>2022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15DB6">
        <w:rPr>
          <w:bCs/>
        </w:rPr>
        <w:t>убыль</w:t>
      </w:r>
      <w:r w:rsidR="00DC714E">
        <w:rPr>
          <w:bCs/>
        </w:rPr>
        <w:t xml:space="preserve"> </w:t>
      </w:r>
      <w:r w:rsidR="002439CC">
        <w:rPr>
          <w:bCs/>
        </w:rPr>
        <w:t>4 841</w:t>
      </w:r>
      <w:r w:rsidR="00CC5560">
        <w:rPr>
          <w:bCs/>
        </w:rPr>
        <w:t xml:space="preserve"> </w:t>
      </w:r>
      <w:r w:rsidRPr="00FC3259">
        <w:rPr>
          <w:bCs/>
        </w:rPr>
        <w:t>человек).</w:t>
      </w:r>
    </w:p>
    <w:p w:rsidR="00133296" w:rsidRDefault="00133296" w:rsidP="00910B69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</w:rPr>
      </w:pP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705785">
        <w:rPr>
          <w:sz w:val="24"/>
          <w:szCs w:val="24"/>
        </w:rPr>
        <w:t>-</w:t>
      </w:r>
      <w:r w:rsidR="002439CC">
        <w:rPr>
          <w:sz w:val="24"/>
          <w:szCs w:val="24"/>
        </w:rPr>
        <w:t>сентябрь</w:t>
      </w:r>
      <w:r w:rsidR="00311CC1">
        <w:rPr>
          <w:sz w:val="24"/>
          <w:szCs w:val="24"/>
        </w:rPr>
        <w:t xml:space="preserve"> </w:t>
      </w:r>
      <w:r w:rsidR="00D428B6">
        <w:rPr>
          <w:sz w:val="24"/>
          <w:szCs w:val="24"/>
        </w:rPr>
        <w:br/>
      </w:r>
      <w:r w:rsidR="00C15DB6">
        <w:rPr>
          <w:sz w:val="24"/>
          <w:szCs w:val="24"/>
        </w:rPr>
        <w:t>2023</w:t>
      </w:r>
      <w:r w:rsidR="0049263F" w:rsidRPr="001375A1">
        <w:rPr>
          <w:sz w:val="24"/>
          <w:szCs w:val="24"/>
        </w:rPr>
        <w:t xml:space="preserve"> года увеличилась на </w:t>
      </w:r>
      <w:r w:rsidR="002439CC">
        <w:rPr>
          <w:sz w:val="24"/>
          <w:szCs w:val="24"/>
        </w:rPr>
        <w:t>16</w:t>
      </w:r>
      <w:r w:rsidR="00F24D4D">
        <w:rPr>
          <w:sz w:val="24"/>
          <w:szCs w:val="24"/>
        </w:rPr>
        <w:sym w:font="Symbol" w:char="F025"/>
      </w:r>
      <w:r w:rsidR="0049263F" w:rsidRPr="001375A1">
        <w:rPr>
          <w:sz w:val="24"/>
          <w:szCs w:val="24"/>
        </w:rPr>
        <w:t xml:space="preserve"> и составила </w:t>
      </w:r>
      <w:r w:rsidR="00890971">
        <w:rPr>
          <w:sz w:val="24"/>
          <w:szCs w:val="24"/>
        </w:rPr>
        <w:t xml:space="preserve">55 </w:t>
      </w:r>
      <w:r w:rsidR="00AC086F">
        <w:rPr>
          <w:sz w:val="24"/>
          <w:szCs w:val="24"/>
        </w:rPr>
        <w:t>8</w:t>
      </w:r>
      <w:r w:rsidR="002439CC">
        <w:rPr>
          <w:sz w:val="24"/>
          <w:szCs w:val="24"/>
        </w:rPr>
        <w:t>91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2439CC">
        <w:rPr>
          <w:sz w:val="24"/>
          <w:szCs w:val="24"/>
        </w:rPr>
        <w:t>ь</w:t>
      </w:r>
      <w:r w:rsidR="00A84DE6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2439CC">
        <w:rPr>
          <w:sz w:val="24"/>
          <w:szCs w:val="24"/>
        </w:rPr>
        <w:t>сентябрь</w:t>
      </w:r>
      <w:r w:rsidR="00C15DB6">
        <w:rPr>
          <w:sz w:val="24"/>
          <w:szCs w:val="24"/>
        </w:rPr>
        <w:t xml:space="preserve"> 2022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br/>
      </w:r>
      <w:r w:rsidR="002439CC">
        <w:rPr>
          <w:sz w:val="24"/>
          <w:szCs w:val="24"/>
        </w:rPr>
        <w:t>48 151</w:t>
      </w:r>
      <w:r w:rsidR="00EA6284">
        <w:rPr>
          <w:sz w:val="24"/>
          <w:szCs w:val="24"/>
        </w:rPr>
        <w:t xml:space="preserve"> </w:t>
      </w:r>
      <w:r w:rsidR="00AC086F">
        <w:rPr>
          <w:sz w:val="24"/>
          <w:szCs w:val="24"/>
        </w:rPr>
        <w:t>рубль</w:t>
      </w:r>
      <w:r w:rsidR="007E355F">
        <w:rPr>
          <w:sz w:val="24"/>
          <w:szCs w:val="24"/>
        </w:rPr>
        <w:t xml:space="preserve">, увеличилась на </w:t>
      </w:r>
      <w:r w:rsidR="002439CC">
        <w:rPr>
          <w:sz w:val="24"/>
          <w:szCs w:val="24"/>
        </w:rPr>
        <w:t>12</w:t>
      </w:r>
      <w:r w:rsidR="00382135">
        <w:rPr>
          <w:sz w:val="24"/>
          <w:szCs w:val="24"/>
        </w:rPr>
        <w:sym w:font="Symbol" w:char="F025"/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D02BC4" w:rsidP="001E267D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77 566</w:t>
            </w:r>
          </w:p>
        </w:tc>
      </w:tr>
      <w:tr w:rsidR="00EA13A9" w:rsidTr="000176B2">
        <w:trPr>
          <w:trHeight w:val="227"/>
        </w:trPr>
        <w:tc>
          <w:tcPr>
            <w:tcW w:w="9039" w:type="dxa"/>
          </w:tcPr>
          <w:p w:rsidR="00EA13A9" w:rsidRDefault="007312D7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EA13A9" w:rsidRDefault="00D02BC4" w:rsidP="001E267D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66 737</w:t>
            </w:r>
          </w:p>
        </w:tc>
      </w:tr>
      <w:tr w:rsidR="001E267D" w:rsidTr="000176B2">
        <w:trPr>
          <w:trHeight w:val="227"/>
        </w:trPr>
        <w:tc>
          <w:tcPr>
            <w:tcW w:w="9039" w:type="dxa"/>
          </w:tcPr>
          <w:p w:rsidR="001E267D" w:rsidRPr="00075DB1" w:rsidRDefault="00075DB1" w:rsidP="00B53D16">
            <w:pPr>
              <w:tabs>
                <w:tab w:val="left" w:pos="1512"/>
              </w:tabs>
              <w:ind w:right="-1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1E267D" w:rsidRDefault="001E267D" w:rsidP="00D02BC4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</w:t>
            </w:r>
            <w:r w:rsidR="00D02BC4">
              <w:rPr>
                <w:sz w:val="24"/>
                <w:szCs w:val="24"/>
              </w:rPr>
              <w:t>815</w:t>
            </w:r>
          </w:p>
        </w:tc>
      </w:tr>
      <w:tr w:rsidR="003D438E" w:rsidTr="000176B2">
        <w:trPr>
          <w:trHeight w:val="227"/>
        </w:trPr>
        <w:tc>
          <w:tcPr>
            <w:tcW w:w="9039" w:type="dxa"/>
          </w:tcPr>
          <w:p w:rsidR="003D438E" w:rsidRDefault="00075DB1" w:rsidP="00592A23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3D438E" w:rsidRDefault="001E267D" w:rsidP="00075DB1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</w:t>
            </w:r>
            <w:r w:rsidR="00075DB1">
              <w:rPr>
                <w:sz w:val="24"/>
                <w:szCs w:val="24"/>
              </w:rPr>
              <w:t>01</w:t>
            </w:r>
            <w:r w:rsidR="00D02BC4">
              <w:rPr>
                <w:sz w:val="24"/>
                <w:szCs w:val="24"/>
              </w:rPr>
              <w:t>5</w:t>
            </w:r>
          </w:p>
        </w:tc>
      </w:tr>
      <w:tr w:rsidR="00496485" w:rsidTr="000176B2">
        <w:trPr>
          <w:trHeight w:val="227"/>
        </w:trPr>
        <w:tc>
          <w:tcPr>
            <w:tcW w:w="9039" w:type="dxa"/>
          </w:tcPr>
          <w:p w:rsidR="003D438E" w:rsidRDefault="00075DB1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правление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обеспечение военной безопасности; социальное обеспечение</w:t>
            </w:r>
          </w:p>
        </w:tc>
        <w:tc>
          <w:tcPr>
            <w:tcW w:w="1417" w:type="dxa"/>
            <w:vAlign w:val="center"/>
          </w:tcPr>
          <w:p w:rsidR="00496485" w:rsidRDefault="00075DB1" w:rsidP="00D02BC4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  <w:r w:rsidR="00D02BC4">
              <w:rPr>
                <w:sz w:val="24"/>
                <w:szCs w:val="24"/>
              </w:rPr>
              <w:t>970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EA0093" w:rsidTr="007A7DA6">
        <w:tc>
          <w:tcPr>
            <w:tcW w:w="9039" w:type="dxa"/>
          </w:tcPr>
          <w:p w:rsidR="00EA0093" w:rsidRPr="00A33D05" w:rsidRDefault="00A33D05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D02BC4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128,3</w:t>
            </w:r>
          </w:p>
        </w:tc>
      </w:tr>
      <w:tr w:rsidR="00EA0093" w:rsidTr="007A7DA6">
        <w:tc>
          <w:tcPr>
            <w:tcW w:w="9039" w:type="dxa"/>
          </w:tcPr>
          <w:p w:rsidR="00EA0093" w:rsidRDefault="00075DB1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075DB1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</w:t>
            </w:r>
            <w:r w:rsidR="00D02BC4">
              <w:rPr>
                <w:sz w:val="24"/>
                <w:szCs w:val="24"/>
              </w:rPr>
              <w:t>4</w:t>
            </w:r>
          </w:p>
        </w:tc>
      </w:tr>
      <w:tr w:rsidR="00496485" w:rsidTr="007A7DA6">
        <w:tc>
          <w:tcPr>
            <w:tcW w:w="9039" w:type="dxa"/>
          </w:tcPr>
          <w:p w:rsidR="00496485" w:rsidRDefault="00075DB1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485" w:rsidRDefault="00D02BC4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</w:tr>
      <w:tr w:rsidR="00A33D05" w:rsidTr="007A7DA6">
        <w:tc>
          <w:tcPr>
            <w:tcW w:w="9039" w:type="dxa"/>
          </w:tcPr>
          <w:p w:rsidR="00A33D05" w:rsidRDefault="00A33D0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Default="00D02BC4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</w:tr>
      <w:tr w:rsidR="00A33D05" w:rsidTr="007A7DA6">
        <w:tc>
          <w:tcPr>
            <w:tcW w:w="9039" w:type="dxa"/>
          </w:tcPr>
          <w:p w:rsidR="00A33D05" w:rsidRDefault="001E267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Default="001E267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02BC4">
              <w:rPr>
                <w:sz w:val="24"/>
                <w:szCs w:val="24"/>
              </w:rPr>
              <w:t>8,9</w:t>
            </w:r>
          </w:p>
        </w:tc>
      </w:tr>
      <w:tr w:rsidR="00EA0093" w:rsidTr="007A7DA6">
        <w:tc>
          <w:tcPr>
            <w:tcW w:w="9039" w:type="dxa"/>
          </w:tcPr>
          <w:p w:rsidR="00EA0093" w:rsidRDefault="00D02BC4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985A38" w:rsidP="00D02BC4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</w:t>
            </w:r>
            <w:r w:rsidR="00D02BC4">
              <w:rPr>
                <w:sz w:val="24"/>
                <w:szCs w:val="24"/>
              </w:rPr>
              <w:t>9</w:t>
            </w:r>
          </w:p>
        </w:tc>
      </w:tr>
    </w:tbl>
    <w:p w:rsidR="00FB6254" w:rsidRPr="00953CF6" w:rsidRDefault="00FB6254" w:rsidP="00FB625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90971">
        <w:rPr>
          <w:sz w:val="24"/>
          <w:szCs w:val="24"/>
        </w:rPr>
        <w:t xml:space="preserve">о данным </w:t>
      </w:r>
      <w:proofErr w:type="spellStart"/>
      <w:r w:rsidR="00890971">
        <w:rPr>
          <w:sz w:val="24"/>
          <w:szCs w:val="24"/>
        </w:rPr>
        <w:t>Алтайкрайстата</w:t>
      </w:r>
      <w:proofErr w:type="spellEnd"/>
      <w:r w:rsidR="00890971">
        <w:rPr>
          <w:sz w:val="24"/>
          <w:szCs w:val="24"/>
        </w:rPr>
        <w:t xml:space="preserve"> на 01.</w:t>
      </w:r>
      <w:r w:rsidR="002439CC">
        <w:rPr>
          <w:sz w:val="24"/>
          <w:szCs w:val="24"/>
        </w:rPr>
        <w:t>11</w:t>
      </w:r>
      <w:r w:rsidR="00D428B6">
        <w:rPr>
          <w:sz w:val="24"/>
          <w:szCs w:val="24"/>
        </w:rPr>
        <w:t>.2023</w:t>
      </w:r>
      <w:r w:rsidRPr="001375A1">
        <w:rPr>
          <w:sz w:val="24"/>
          <w:szCs w:val="24"/>
        </w:rPr>
        <w:t xml:space="preserve"> просроченная задолженность по заработной плате </w:t>
      </w:r>
      <w:r>
        <w:rPr>
          <w:sz w:val="24"/>
          <w:szCs w:val="24"/>
        </w:rPr>
        <w:t>отсутствует.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15150" cy="56197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705D0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E86D66">
        <w:rPr>
          <w:sz w:val="24"/>
          <w:szCs w:val="24"/>
        </w:rPr>
        <w:t>октябре</w:t>
      </w:r>
      <w:r w:rsidR="00B85647" w:rsidRPr="00692272">
        <w:rPr>
          <w:sz w:val="24"/>
          <w:szCs w:val="24"/>
        </w:rPr>
        <w:t xml:space="preserve"> в Барнауле по </w:t>
      </w:r>
      <w:r w:rsidR="00B85647" w:rsidRPr="00593750">
        <w:rPr>
          <w:sz w:val="24"/>
          <w:szCs w:val="24"/>
        </w:rPr>
        <w:t>сравнению с крупными городами Сибирского федер</w:t>
      </w:r>
      <w:r w:rsidR="00AE4726" w:rsidRPr="00593750">
        <w:rPr>
          <w:sz w:val="24"/>
          <w:szCs w:val="24"/>
        </w:rPr>
        <w:t xml:space="preserve">ального округа </w:t>
      </w:r>
      <w:r w:rsidR="00B85647" w:rsidRPr="00593750">
        <w:rPr>
          <w:sz w:val="24"/>
          <w:szCs w:val="24"/>
        </w:rPr>
        <w:t>зафикс</w:t>
      </w:r>
      <w:r w:rsidR="00FB1692" w:rsidRPr="00593750">
        <w:rPr>
          <w:sz w:val="24"/>
          <w:szCs w:val="24"/>
        </w:rPr>
        <w:t>ирована минимальная</w:t>
      </w:r>
      <w:r w:rsidR="00740214" w:rsidRPr="00593750">
        <w:rPr>
          <w:sz w:val="24"/>
          <w:szCs w:val="24"/>
        </w:rPr>
        <w:t xml:space="preserve"> </w:t>
      </w:r>
      <w:r w:rsidR="00FB1692" w:rsidRPr="00593750">
        <w:rPr>
          <w:sz w:val="24"/>
          <w:szCs w:val="24"/>
        </w:rPr>
        <w:t>цена</w:t>
      </w:r>
      <w:r w:rsidR="00740214" w:rsidRPr="00593750">
        <w:rPr>
          <w:sz w:val="24"/>
          <w:szCs w:val="24"/>
        </w:rPr>
        <w:t xml:space="preserve"> </w:t>
      </w:r>
      <w:r w:rsidR="00C90664" w:rsidRPr="00593750">
        <w:rPr>
          <w:sz w:val="24"/>
          <w:szCs w:val="24"/>
        </w:rPr>
        <w:t xml:space="preserve">на </w:t>
      </w:r>
      <w:r w:rsidR="00E86D66">
        <w:rPr>
          <w:sz w:val="24"/>
          <w:szCs w:val="24"/>
        </w:rPr>
        <w:t xml:space="preserve">2 </w:t>
      </w:r>
      <w:r w:rsidR="00B85647" w:rsidRPr="00593750">
        <w:rPr>
          <w:sz w:val="24"/>
          <w:szCs w:val="24"/>
        </w:rPr>
        <w:t>из 24 социально</w:t>
      </w:r>
      <w:r w:rsidR="00B85647" w:rsidRPr="00692272">
        <w:rPr>
          <w:sz w:val="24"/>
          <w:szCs w:val="24"/>
        </w:rPr>
        <w:t xml:space="preserve"> значимых продуктов питания:</w:t>
      </w:r>
    </w:p>
    <w:tbl>
      <w:tblPr>
        <w:tblStyle w:val="a5"/>
        <w:tblW w:w="10508" w:type="dxa"/>
        <w:jc w:val="center"/>
        <w:tblLayout w:type="fixed"/>
        <w:tblLook w:val="04A0"/>
      </w:tblPr>
      <w:tblGrid>
        <w:gridCol w:w="2828"/>
        <w:gridCol w:w="1133"/>
        <w:gridCol w:w="6"/>
        <w:gridCol w:w="1127"/>
        <w:gridCol w:w="1134"/>
        <w:gridCol w:w="6"/>
        <w:gridCol w:w="1134"/>
        <w:gridCol w:w="1132"/>
        <w:gridCol w:w="993"/>
        <w:gridCol w:w="992"/>
        <w:gridCol w:w="23"/>
      </w:tblGrid>
      <w:tr w:rsidR="00740214" w:rsidRPr="00740214" w:rsidTr="00B80C18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E86D66" w:rsidRPr="00E86D66" w:rsidTr="00B80C18">
        <w:trPr>
          <w:gridAfter w:val="1"/>
          <w:wAfter w:w="23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587,77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634,77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color w:val="000000"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756,60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color w:val="000000"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649,74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555,76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550,24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708,50</w:t>
            </w:r>
          </w:p>
        </w:tc>
      </w:tr>
      <w:tr w:rsidR="00E86D66" w:rsidRPr="00E86D66" w:rsidTr="00B80C18">
        <w:trPr>
          <w:gridAfter w:val="1"/>
          <w:wAfter w:w="23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471,19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466,11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490,79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480,82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516,44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464,38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533,73</w:t>
            </w:r>
          </w:p>
        </w:tc>
      </w:tr>
      <w:tr w:rsidR="00E86D66" w:rsidRPr="00E86D66" w:rsidTr="00B80C18">
        <w:trPr>
          <w:gridAfter w:val="1"/>
          <w:wAfter w:w="23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332,48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344,34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380,19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350,12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299,34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369,19</w:t>
            </w:r>
          </w:p>
        </w:tc>
      </w:tr>
      <w:tr w:rsidR="00E86D66" w:rsidRPr="00E86D66" w:rsidTr="00B80C18">
        <w:trPr>
          <w:gridAfter w:val="1"/>
          <w:wAfter w:w="23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proofErr w:type="gramStart"/>
            <w:r w:rsidRPr="00E86D66">
              <w:rPr>
                <w:sz w:val="20"/>
                <w:szCs w:val="20"/>
              </w:rPr>
              <w:t>Куры</w:t>
            </w:r>
            <w:proofErr w:type="gramEnd"/>
            <w:r w:rsidRPr="00E86D66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242,39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277,43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235,57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253,18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232,66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232,99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230,65</w:t>
            </w:r>
          </w:p>
        </w:tc>
      </w:tr>
      <w:tr w:rsidR="00E86D66" w:rsidRPr="00E86D66" w:rsidTr="00B80C18">
        <w:trPr>
          <w:gridAfter w:val="1"/>
          <w:wAfter w:w="23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191,16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263,85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218,34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273,89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b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232,86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200,11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206,95</w:t>
            </w:r>
          </w:p>
        </w:tc>
      </w:tr>
      <w:tr w:rsidR="00E86D66" w:rsidRPr="00E86D66" w:rsidTr="00B80C18">
        <w:trPr>
          <w:gridAfter w:val="1"/>
          <w:wAfter w:w="23" w:type="dxa"/>
          <w:trHeight w:val="24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724,75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940,22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722,85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873,64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b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852,97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670,87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687,44</w:t>
            </w:r>
          </w:p>
        </w:tc>
      </w:tr>
      <w:tr w:rsidR="00E86D66" w:rsidRPr="00E86D66" w:rsidTr="00B80C18">
        <w:trPr>
          <w:gridAfter w:val="1"/>
          <w:wAfter w:w="23" w:type="dxa"/>
          <w:trHeight w:val="171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E86D66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128,16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133,39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129,13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131,37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126,89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b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120,13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139,91</w:t>
            </w:r>
          </w:p>
        </w:tc>
      </w:tr>
      <w:tr w:rsidR="00E86D66" w:rsidRPr="00E86D66" w:rsidTr="00B80C18">
        <w:trPr>
          <w:gridAfter w:val="1"/>
          <w:wAfter w:w="23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Молоко питьевое, (</w:t>
            </w:r>
            <w:proofErr w:type="gramStart"/>
            <w:r w:rsidRPr="00E86D66">
              <w:rPr>
                <w:sz w:val="20"/>
                <w:szCs w:val="20"/>
              </w:rPr>
              <w:t>м</w:t>
            </w:r>
            <w:proofErr w:type="gramEnd"/>
            <w:r w:rsidRPr="00E86D66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79,17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68,80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72,47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62,50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81,01</w:t>
            </w:r>
          </w:p>
        </w:tc>
      </w:tr>
      <w:tr w:rsidR="00E86D66" w:rsidRPr="00E86D66" w:rsidTr="00B80C18">
        <w:trPr>
          <w:gridAfter w:val="1"/>
          <w:wAfter w:w="23" w:type="dxa"/>
          <w:trHeight w:val="224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94,94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107,92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98,87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98,44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95,51</w:t>
            </w:r>
          </w:p>
        </w:tc>
      </w:tr>
      <w:tr w:rsidR="00E86D66" w:rsidRPr="00E86D66" w:rsidTr="00B80C18">
        <w:trPr>
          <w:gridAfter w:val="1"/>
          <w:wAfter w:w="23" w:type="dxa"/>
          <w:trHeight w:val="245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74,16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76,39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76,84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81,31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78,79</w:t>
            </w:r>
          </w:p>
        </w:tc>
      </w:tr>
      <w:tr w:rsidR="00910B69" w:rsidRPr="00E86D66" w:rsidTr="00B80C18">
        <w:trPr>
          <w:gridAfter w:val="1"/>
          <w:wAfter w:w="23" w:type="dxa"/>
          <w:trHeight w:val="245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0B69" w:rsidRPr="00740214" w:rsidRDefault="00910B69" w:rsidP="00B42553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0B69" w:rsidRPr="00740214" w:rsidRDefault="00910B69" w:rsidP="00B42553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0B69" w:rsidRPr="00740214" w:rsidRDefault="00910B69" w:rsidP="00B42553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0B69" w:rsidRPr="00740214" w:rsidRDefault="00910B69" w:rsidP="00B425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0B69" w:rsidRPr="00740214" w:rsidRDefault="00910B69" w:rsidP="00B4255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0B69" w:rsidRPr="00740214" w:rsidRDefault="00910B69" w:rsidP="00B4255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0B69" w:rsidRPr="00740214" w:rsidRDefault="00910B69" w:rsidP="00B42553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0B69" w:rsidRPr="00740214" w:rsidRDefault="00910B69" w:rsidP="00B42553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E86D66" w:rsidRPr="00E86D66" w:rsidTr="00B80C18">
        <w:trPr>
          <w:gridAfter w:val="1"/>
          <w:wAfter w:w="23" w:type="dxa"/>
          <w:trHeight w:val="235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1 018,46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941,93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1 188,96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1 094,65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1 284,86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866,03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940,92</w:t>
            </w:r>
          </w:p>
        </w:tc>
      </w:tr>
      <w:tr w:rsidR="00E86D66" w:rsidRPr="00E86D66" w:rsidTr="00B80C18">
        <w:trPr>
          <w:gridAfter w:val="1"/>
          <w:wAfter w:w="23" w:type="dxa"/>
          <w:trHeight w:val="245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14,11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14,68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31,55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19,41</w:t>
            </w:r>
          </w:p>
        </w:tc>
      </w:tr>
      <w:tr w:rsidR="00E86D66" w:rsidRPr="00E86D66" w:rsidTr="00B80C18">
        <w:trPr>
          <w:gridAfter w:val="1"/>
          <w:wAfter w:w="23" w:type="dxa"/>
          <w:trHeight w:val="316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39,29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43,24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39,58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45,45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44,98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44,74</w:t>
            </w:r>
          </w:p>
        </w:tc>
      </w:tr>
      <w:tr w:rsidR="00E86D66" w:rsidRPr="00E86D66" w:rsidTr="00B80C18">
        <w:trPr>
          <w:gridAfter w:val="1"/>
          <w:wAfter w:w="23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86,34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82,44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99,69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101,51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color w:val="000000"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72,05</w:t>
            </w:r>
          </w:p>
        </w:tc>
      </w:tr>
      <w:tr w:rsidR="00E86D66" w:rsidRPr="00E86D66" w:rsidTr="00B80C18">
        <w:trPr>
          <w:gridAfter w:val="1"/>
          <w:wAfter w:w="23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ind w:right="-102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84,89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94,95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95,01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79,06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92,81</w:t>
            </w:r>
          </w:p>
        </w:tc>
      </w:tr>
      <w:tr w:rsidR="00E86D66" w:rsidRPr="00E86D66" w:rsidTr="00B80C18">
        <w:trPr>
          <w:gridAfter w:val="1"/>
          <w:wAfter w:w="23" w:type="dxa"/>
          <w:trHeight w:val="252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124,58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103,64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121,77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126,00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b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125,68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101,34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124,04</w:t>
            </w:r>
          </w:p>
        </w:tc>
      </w:tr>
      <w:tr w:rsidR="00E86D66" w:rsidRPr="00E86D66" w:rsidTr="00B80C18">
        <w:trPr>
          <w:gridAfter w:val="1"/>
          <w:wAfter w:w="23" w:type="dxa"/>
          <w:trHeight w:val="25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Пшено,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58,26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53,85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57,53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63,04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b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61,87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53,34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59,37</w:t>
            </w:r>
          </w:p>
        </w:tc>
      </w:tr>
      <w:tr w:rsidR="00E86D66" w:rsidRPr="00E86D66" w:rsidTr="00B80C18">
        <w:trPr>
          <w:gridAfter w:val="1"/>
          <w:wAfter w:w="23" w:type="dxa"/>
          <w:trHeight w:val="245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ind w:right="-108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E86D66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E86D66">
              <w:rPr>
                <w:sz w:val="20"/>
                <w:szCs w:val="20"/>
              </w:rPr>
              <w:t>, кг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69,93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color w:val="000000"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71,80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66,11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b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color w:val="000000"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64,53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73,05</w:t>
            </w:r>
          </w:p>
        </w:tc>
      </w:tr>
      <w:tr w:rsidR="00E86D66" w:rsidRPr="00E86D66" w:rsidTr="00B80C18">
        <w:trPr>
          <w:gridAfter w:val="1"/>
          <w:wAfter w:w="23" w:type="dxa"/>
          <w:trHeight w:val="245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  <w:lang w:val="en-US"/>
              </w:rPr>
            </w:pPr>
            <w:r w:rsidRPr="00E86D66">
              <w:rPr>
                <w:sz w:val="20"/>
                <w:szCs w:val="20"/>
              </w:rPr>
              <w:t>99,33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79,01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94,59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b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124,94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89,21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92,10</w:t>
            </w:r>
          </w:p>
        </w:tc>
      </w:tr>
      <w:tr w:rsidR="00E86D66" w:rsidRPr="00E86D66" w:rsidTr="00B80C18">
        <w:trPr>
          <w:gridAfter w:val="1"/>
          <w:wAfter w:w="23" w:type="dxa"/>
          <w:trHeight w:val="248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21,62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color w:val="000000"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18,90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35,26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b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22,83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24,61</w:t>
            </w:r>
          </w:p>
        </w:tc>
      </w:tr>
      <w:tr w:rsidR="00E86D66" w:rsidRPr="00E86D66" w:rsidTr="00B80C18">
        <w:trPr>
          <w:gridAfter w:val="1"/>
          <w:wAfter w:w="23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21,93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22,91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25,71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b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24,22</w:t>
            </w:r>
          </w:p>
        </w:tc>
      </w:tr>
      <w:tr w:rsidR="00E86D66" w:rsidRPr="00E86D66" w:rsidTr="00B80C18">
        <w:trPr>
          <w:gridAfter w:val="1"/>
          <w:wAfter w:w="23" w:type="dxa"/>
          <w:trHeight w:val="24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27,39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28,79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36,77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b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28,72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29,51</w:t>
            </w:r>
          </w:p>
        </w:tc>
      </w:tr>
      <w:tr w:rsidR="00E86D66" w:rsidRPr="00E86D66" w:rsidTr="00B80C18">
        <w:trPr>
          <w:gridAfter w:val="1"/>
          <w:wAfter w:w="23" w:type="dxa"/>
          <w:trHeight w:val="26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Морковь,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32,49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58,41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38,99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42,85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b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24,45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36,91</w:t>
            </w:r>
          </w:p>
        </w:tc>
      </w:tr>
      <w:tr w:rsidR="00E86D66" w:rsidRPr="00E86D66" w:rsidTr="00B80C18">
        <w:trPr>
          <w:gridAfter w:val="1"/>
          <w:wAfter w:w="23" w:type="dxa"/>
          <w:trHeight w:val="258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66" w:rsidRPr="00E86D66" w:rsidRDefault="00E86D66" w:rsidP="00A47649">
            <w:pPr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 xml:space="preserve">Яблоки, </w:t>
            </w:r>
            <w:proofErr w:type="gramStart"/>
            <w:r w:rsidRPr="00E86D66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124,89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174,07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116,32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132,84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b/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129,35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108,82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66" w:rsidRPr="00E86D66" w:rsidRDefault="00E86D66" w:rsidP="00A47649">
            <w:pPr>
              <w:jc w:val="center"/>
              <w:rPr>
                <w:sz w:val="20"/>
                <w:szCs w:val="20"/>
              </w:rPr>
            </w:pPr>
            <w:r w:rsidRPr="00E86D66">
              <w:rPr>
                <w:sz w:val="20"/>
                <w:szCs w:val="20"/>
              </w:rPr>
              <w:t>140,32</w:t>
            </w:r>
          </w:p>
        </w:tc>
      </w:tr>
      <w:tr w:rsidR="00C632FC" w:rsidTr="00E86D66">
        <w:trPr>
          <w:trHeight w:val="197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E86D66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60D1" w:rsidRPr="002A1CCA" w:rsidRDefault="00750BF1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50BF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50BF1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50BF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50BF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71526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413,7</w:t>
            </w:r>
          </w:p>
        </w:tc>
      </w:tr>
      <w:tr w:rsidR="00C632FC" w:rsidRPr="00645DA1" w:rsidTr="00E86D66">
        <w:trPr>
          <w:trHeight w:val="246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750BF1">
              <w:rPr>
                <w:color w:val="000000"/>
                <w:sz w:val="20"/>
                <w:szCs w:val="20"/>
              </w:rPr>
              <w:t> 563,2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750BF1">
              <w:rPr>
                <w:color w:val="000000"/>
                <w:sz w:val="20"/>
                <w:szCs w:val="20"/>
              </w:rPr>
              <w:t> 134,3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50BF1">
              <w:rPr>
                <w:color w:val="000000"/>
                <w:sz w:val="20"/>
                <w:szCs w:val="20"/>
              </w:rPr>
              <w:t>5 031,4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750BF1">
              <w:rPr>
                <w:color w:val="000000"/>
                <w:sz w:val="20"/>
                <w:szCs w:val="20"/>
              </w:rPr>
              <w:t> 833,5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0A1D98" w:rsidP="00750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750BF1">
              <w:rPr>
                <w:color w:val="000000"/>
                <w:sz w:val="20"/>
                <w:szCs w:val="20"/>
              </w:rPr>
              <w:t> 315,2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196D4F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750BF1">
              <w:rPr>
                <w:color w:val="000000"/>
                <w:sz w:val="20"/>
                <w:szCs w:val="20"/>
              </w:rPr>
              <w:t> 529,5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750B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0A1D98">
              <w:rPr>
                <w:color w:val="000000"/>
                <w:sz w:val="20"/>
                <w:szCs w:val="20"/>
              </w:rPr>
              <w:t> </w:t>
            </w:r>
            <w:r w:rsidR="00750BF1">
              <w:rPr>
                <w:color w:val="000000"/>
                <w:sz w:val="20"/>
                <w:szCs w:val="20"/>
              </w:rPr>
              <w:t>969</w:t>
            </w:r>
          </w:p>
        </w:tc>
      </w:tr>
      <w:tr w:rsidR="00C632FC" w:rsidRPr="00645DA1" w:rsidTr="00E86D66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260D1">
              <w:rPr>
                <w:color w:val="000000"/>
                <w:sz w:val="20"/>
                <w:szCs w:val="20"/>
              </w:rPr>
              <w:t> 009,2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1 063,55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  <w:r w:rsidR="000A1D98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15269">
              <w:rPr>
                <w:color w:val="000000"/>
                <w:sz w:val="20"/>
                <w:szCs w:val="20"/>
              </w:rPr>
              <w:t>25,6</w:t>
            </w:r>
          </w:p>
        </w:tc>
      </w:tr>
      <w:tr w:rsidR="00C632FC" w:rsidRPr="00645DA1" w:rsidTr="00E86D66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</w:t>
            </w:r>
            <w:r w:rsidR="00750BF1">
              <w:rPr>
                <w:color w:val="000000"/>
                <w:sz w:val="20"/>
                <w:szCs w:val="20"/>
              </w:rPr>
              <w:t> 465,6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50BF1">
              <w:rPr>
                <w:color w:val="000000"/>
                <w:sz w:val="20"/>
                <w:szCs w:val="20"/>
              </w:rPr>
              <w:t>3 295,7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750BF1">
              <w:rPr>
                <w:color w:val="000000"/>
                <w:sz w:val="20"/>
                <w:szCs w:val="20"/>
              </w:rPr>
              <w:t> 614,3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24 904,3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3E7AE8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750BF1">
              <w:rPr>
                <w:color w:val="000000"/>
                <w:sz w:val="20"/>
                <w:szCs w:val="20"/>
              </w:rPr>
              <w:t> 389,3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50BF1">
              <w:rPr>
                <w:color w:val="000000"/>
                <w:sz w:val="20"/>
                <w:szCs w:val="20"/>
              </w:rPr>
              <w:t>1 082,0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B2803">
              <w:rPr>
                <w:color w:val="000000"/>
                <w:sz w:val="20"/>
                <w:szCs w:val="20"/>
              </w:rPr>
              <w:t> 474,5</w:t>
            </w:r>
          </w:p>
        </w:tc>
      </w:tr>
      <w:tr w:rsidR="00C632FC" w:rsidRPr="00645DA1" w:rsidTr="002857AF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B3C" w:rsidRDefault="000A1D98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50BF1">
              <w:rPr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A1D98">
              <w:rPr>
                <w:color w:val="000000"/>
                <w:sz w:val="20"/>
                <w:szCs w:val="20"/>
              </w:rPr>
              <w:t>7,</w:t>
            </w:r>
            <w:r w:rsidR="00750BF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A1D98">
              <w:rPr>
                <w:color w:val="000000"/>
                <w:sz w:val="20"/>
                <w:szCs w:val="20"/>
              </w:rPr>
              <w:t>5,</w:t>
            </w:r>
            <w:r w:rsidR="00750BF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0A1D98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</w:t>
            </w:r>
            <w:r w:rsidR="00750BF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50BF1">
              <w:rPr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50BF1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12C70">
              <w:rPr>
                <w:color w:val="000000"/>
                <w:sz w:val="20"/>
                <w:szCs w:val="20"/>
              </w:rPr>
              <w:t>4,14</w:t>
            </w:r>
          </w:p>
        </w:tc>
      </w:tr>
      <w:tr w:rsidR="00C632FC" w:rsidRPr="00645DA1" w:rsidTr="002857AF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50BF1" w:rsidP="00715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50BF1">
              <w:rPr>
                <w:color w:val="000000"/>
                <w:sz w:val="20"/>
                <w:szCs w:val="20"/>
              </w:rPr>
              <w:t>2,17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50BF1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50BF1"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50BF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50BF1">
              <w:rPr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12C70"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C632FC" w:rsidRPr="00645DA1" w:rsidTr="002857AF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</w:t>
            </w:r>
            <w:r w:rsidR="00750BF1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50BF1">
              <w:rPr>
                <w:color w:val="000000"/>
                <w:sz w:val="20"/>
                <w:szCs w:val="20"/>
              </w:rPr>
              <w:t>6,64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50BF1">
              <w:rPr>
                <w:color w:val="000000"/>
                <w:sz w:val="20"/>
                <w:szCs w:val="20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50BF1">
              <w:rPr>
                <w:color w:val="000000"/>
                <w:sz w:val="20"/>
                <w:szCs w:val="20"/>
              </w:rPr>
              <w:t>5,46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50BF1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50BF1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12C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50,23</w:t>
            </w:r>
          </w:p>
        </w:tc>
      </w:tr>
      <w:tr w:rsidR="00C632FC" w:rsidRPr="00645DA1" w:rsidTr="00E86D66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50BF1">
              <w:rPr>
                <w:color w:val="000000"/>
                <w:sz w:val="20"/>
                <w:szCs w:val="20"/>
              </w:rPr>
              <w:t> 475,8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3 332,2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A1D98">
              <w:rPr>
                <w:color w:val="000000"/>
                <w:sz w:val="20"/>
                <w:szCs w:val="20"/>
              </w:rPr>
              <w:t> 726,1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06D">
              <w:rPr>
                <w:color w:val="000000"/>
                <w:sz w:val="20"/>
                <w:szCs w:val="20"/>
              </w:rPr>
              <w:t> 360,9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64870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50BF1">
              <w:rPr>
                <w:color w:val="000000"/>
                <w:sz w:val="20"/>
                <w:szCs w:val="20"/>
              </w:rPr>
              <w:t> 531,6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325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A1D98">
              <w:rPr>
                <w:color w:val="000000"/>
                <w:sz w:val="20"/>
                <w:szCs w:val="20"/>
              </w:rPr>
              <w:t> 338,6</w:t>
            </w:r>
          </w:p>
        </w:tc>
      </w:tr>
      <w:tr w:rsidR="00C632FC" w:rsidRPr="00645DA1" w:rsidTr="00E86D66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50BF1">
              <w:rPr>
                <w:color w:val="000000"/>
                <w:sz w:val="20"/>
                <w:szCs w:val="20"/>
              </w:rPr>
              <w:t> 613,6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2 002,3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50BF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A1D98">
              <w:rPr>
                <w:color w:val="000000"/>
                <w:sz w:val="20"/>
                <w:szCs w:val="20"/>
              </w:rPr>
              <w:t> 953,7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50BF1">
              <w:rPr>
                <w:color w:val="000000"/>
                <w:sz w:val="20"/>
                <w:szCs w:val="20"/>
              </w:rPr>
              <w:t> 304,4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2 127,2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A1D98">
              <w:rPr>
                <w:color w:val="000000"/>
                <w:sz w:val="20"/>
                <w:szCs w:val="20"/>
              </w:rPr>
              <w:t> 824,9</w:t>
            </w:r>
          </w:p>
        </w:tc>
      </w:tr>
      <w:tr w:rsidR="00C632FC" w:rsidRPr="00645DA1" w:rsidTr="00E86D66">
        <w:trPr>
          <w:trHeight w:val="197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E86D66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E86D66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E86D66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E86D66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272,5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B80C18">
        <w:trPr>
          <w:trHeight w:val="1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260D1">
              <w:rPr>
                <w:color w:val="000000"/>
                <w:sz w:val="20"/>
                <w:szCs w:val="20"/>
              </w:rPr>
              <w:t>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82B1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63473A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63473A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position-horizontal:left;mso-position-horizontal-relative:margin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7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4F" w:rsidRDefault="00566F4F" w:rsidP="0091736E">
      <w:r>
        <w:separator/>
      </w:r>
    </w:p>
  </w:endnote>
  <w:endnote w:type="continuationSeparator" w:id="0">
    <w:p w:rsidR="00566F4F" w:rsidRDefault="00566F4F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4F" w:rsidRDefault="00566F4F" w:rsidP="0091736E">
      <w:r>
        <w:separator/>
      </w:r>
    </w:p>
  </w:footnote>
  <w:footnote w:type="continuationSeparator" w:id="0">
    <w:p w:rsidR="00566F4F" w:rsidRDefault="00566F4F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4F" w:rsidRPr="00C00C70" w:rsidRDefault="00566F4F" w:rsidP="00C00C70">
    <w:pPr>
      <w:pStyle w:val="af0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6801C1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63169">
      <o:colormru v:ext="edit" colors="fuchsia"/>
      <o:colormenu v:ext="edit" fillcolor="#92d050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E3B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313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5D41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296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F11"/>
    <w:rsid w:val="001A3619"/>
    <w:rsid w:val="001A6745"/>
    <w:rsid w:val="001A7564"/>
    <w:rsid w:val="001B0FB1"/>
    <w:rsid w:val="001B12DB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E34"/>
    <w:rsid w:val="00241F9F"/>
    <w:rsid w:val="00242370"/>
    <w:rsid w:val="00242403"/>
    <w:rsid w:val="0024273A"/>
    <w:rsid w:val="0024383E"/>
    <w:rsid w:val="002439CC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57AF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568E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4EA5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CC1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2484"/>
    <w:rsid w:val="00332809"/>
    <w:rsid w:val="0033290D"/>
    <w:rsid w:val="003331B6"/>
    <w:rsid w:val="00334622"/>
    <w:rsid w:val="00336C3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339D"/>
    <w:rsid w:val="00383820"/>
    <w:rsid w:val="003848AE"/>
    <w:rsid w:val="00385745"/>
    <w:rsid w:val="00386247"/>
    <w:rsid w:val="00390418"/>
    <w:rsid w:val="00391F79"/>
    <w:rsid w:val="0039326F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2254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438E"/>
    <w:rsid w:val="003D5A35"/>
    <w:rsid w:val="003D6B8C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3E7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6F4F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19F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473A"/>
    <w:rsid w:val="006352AB"/>
    <w:rsid w:val="00636AD4"/>
    <w:rsid w:val="00637D72"/>
    <w:rsid w:val="00640CBC"/>
    <w:rsid w:val="0064120B"/>
    <w:rsid w:val="006419E6"/>
    <w:rsid w:val="00641D1C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500E"/>
    <w:rsid w:val="006770A4"/>
    <w:rsid w:val="0067727B"/>
    <w:rsid w:val="00677A57"/>
    <w:rsid w:val="00677CE8"/>
    <w:rsid w:val="006800A9"/>
    <w:rsid w:val="006801C1"/>
    <w:rsid w:val="006805C5"/>
    <w:rsid w:val="00680BC2"/>
    <w:rsid w:val="0068107F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7F9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6CB"/>
    <w:rsid w:val="00730E4A"/>
    <w:rsid w:val="00731082"/>
    <w:rsid w:val="007312D7"/>
    <w:rsid w:val="00731E35"/>
    <w:rsid w:val="00732478"/>
    <w:rsid w:val="00733ADE"/>
    <w:rsid w:val="0073520B"/>
    <w:rsid w:val="007358B0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0BF1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87D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2DB5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327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0CAD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0B69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4AA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9EC"/>
    <w:rsid w:val="00A14F2A"/>
    <w:rsid w:val="00A151A0"/>
    <w:rsid w:val="00A15678"/>
    <w:rsid w:val="00A15EC0"/>
    <w:rsid w:val="00A16E89"/>
    <w:rsid w:val="00A171BB"/>
    <w:rsid w:val="00A17290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3D05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649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086F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EF0"/>
    <w:rsid w:val="00AC64E2"/>
    <w:rsid w:val="00AC7771"/>
    <w:rsid w:val="00AC7AEC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2553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8AC"/>
    <w:rsid w:val="00B6298A"/>
    <w:rsid w:val="00B62C2A"/>
    <w:rsid w:val="00B62E6D"/>
    <w:rsid w:val="00B62EF0"/>
    <w:rsid w:val="00B63F2F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0C18"/>
    <w:rsid w:val="00B81028"/>
    <w:rsid w:val="00B81353"/>
    <w:rsid w:val="00B819B5"/>
    <w:rsid w:val="00B82B14"/>
    <w:rsid w:val="00B842A1"/>
    <w:rsid w:val="00B84D51"/>
    <w:rsid w:val="00B85576"/>
    <w:rsid w:val="00B85647"/>
    <w:rsid w:val="00B8585E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44D8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2C70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3774C"/>
    <w:rsid w:val="00C40855"/>
    <w:rsid w:val="00C41A31"/>
    <w:rsid w:val="00C41B25"/>
    <w:rsid w:val="00C41B54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63AB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A7EA5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7770"/>
    <w:rsid w:val="00CD7C00"/>
    <w:rsid w:val="00CE0D87"/>
    <w:rsid w:val="00CE21BD"/>
    <w:rsid w:val="00CE246A"/>
    <w:rsid w:val="00CE2CAA"/>
    <w:rsid w:val="00CE3ECE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3C9"/>
    <w:rsid w:val="00CF3412"/>
    <w:rsid w:val="00CF35E5"/>
    <w:rsid w:val="00CF373C"/>
    <w:rsid w:val="00CF565D"/>
    <w:rsid w:val="00CF7F65"/>
    <w:rsid w:val="00D0017D"/>
    <w:rsid w:val="00D01291"/>
    <w:rsid w:val="00D01FC7"/>
    <w:rsid w:val="00D027BE"/>
    <w:rsid w:val="00D02B86"/>
    <w:rsid w:val="00D02BC4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49AE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0F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C2C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86D66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B20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4D4D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>
      <o:colormru v:ext="edit" colors="fuchsia"/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7814E7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13038"/>
  </w:style>
  <w:style w:type="character" w:styleId="af5">
    <w:name w:val="Strong"/>
    <w:basedOn w:val="a0"/>
    <w:uiPriority w:val="22"/>
    <w:qFormat/>
    <w:rsid w:val="001843FE"/>
    <w:rPr>
      <w:b/>
      <w:bCs/>
    </w:rPr>
  </w:style>
  <w:style w:type="character" w:customStyle="1" w:styleId="ae">
    <w:name w:val="Абзац списка Знак"/>
    <w:link w:val="ad"/>
    <w:uiPriority w:val="99"/>
    <w:locked/>
    <w:rsid w:val="00133296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1.0333476898837859E-2"/>
                  <c:y val="3.81102362204724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9891074274902177E-3"/>
                  <c:y val="5.5137552250413148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4326460637507025E-3"/>
                  <c:y val="4.59110053103827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582995767147617E-3"/>
                  <c:y val="6.783250930842950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1228259129512E-3"/>
                  <c:y val="7.978718876356673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3409275804058857E-3"/>
                  <c:y val="5.212695635267813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4481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9.8263648489542617E-3"/>
                  <c:y val="3.5489226637368011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8.3222831125245034E-3"/>
                  <c:y val="3.938839040468782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2131690060481577E-3"/>
                  <c:y val="5.1395936619033744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854E-3"/>
                  <c:y val="6.94444444444448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 formatCode="0.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  <c:pt idx="5">
                  <c:v>109.2</c:v>
                </c:pt>
                <c:pt idx="6">
                  <c:v>108.6</c:v>
                </c:pt>
                <c:pt idx="7">
                  <c:v>108.8</c:v>
                </c:pt>
                <c:pt idx="8">
                  <c:v>108.5</c:v>
                </c:pt>
                <c:pt idx="9" formatCode="0.0">
                  <c:v>108.3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3.8106072434996702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2670428819118512E-2"/>
                  <c:y val="6.056381841158744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1083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1617586818988676E-2"/>
                  <c:y val="4.883720930232560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2283616282068787E-2"/>
                  <c:y val="5.018983092229750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393211192219557E-2"/>
                  <c:y val="4.562554680664921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7286722396E-3"/>
                  <c:y val="5.29726839700593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5.4350657732612139E-3"/>
                  <c:y val="5.3810657388756726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8.3319528957898521E-3"/>
                  <c:y val="6.5317390881695372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655336035327E-3"/>
                  <c:y val="2.8281325945367943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72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37249522483E-2"/>
                  <c:y val="1.798009623797033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 formatCode="0.0">
                  <c:v>106.8</c:v>
                </c:pt>
                <c:pt idx="1">
                  <c:v>105.6</c:v>
                </c:pt>
                <c:pt idx="2">
                  <c:v>105.4</c:v>
                </c:pt>
                <c:pt idx="3">
                  <c:v>105.2</c:v>
                </c:pt>
                <c:pt idx="4">
                  <c:v>105.6</c:v>
                </c:pt>
                <c:pt idx="5">
                  <c:v>106.1</c:v>
                </c:pt>
                <c:pt idx="6">
                  <c:v>106.4</c:v>
                </c:pt>
                <c:pt idx="7">
                  <c:v>107.7</c:v>
                </c:pt>
                <c:pt idx="8">
                  <c:v>106.5</c:v>
                </c:pt>
                <c:pt idx="9" formatCode="0.0">
                  <c:v>104.4</c:v>
                </c:pt>
              </c:numCache>
            </c:numRef>
          </c:val>
        </c:ser>
        <c:dLbls>
          <c:showVal val="1"/>
        </c:dLbls>
        <c:axId val="145580416"/>
        <c:axId val="145581952"/>
      </c:barChart>
      <c:catAx>
        <c:axId val="1455804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581952"/>
        <c:crosses val="autoZero"/>
        <c:auto val="1"/>
        <c:lblAlgn val="ctr"/>
        <c:lblOffset val="100"/>
      </c:catAx>
      <c:valAx>
        <c:axId val="145581952"/>
        <c:scaling>
          <c:orientation val="minMax"/>
        </c:scaling>
        <c:delete val="1"/>
        <c:axPos val="l"/>
        <c:numFmt formatCode="0.0" sourceLinked="1"/>
        <c:tickLblPos val="none"/>
        <c:crossAx val="145580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152886218815921"/>
          <c:y val="0.1458287158549626"/>
          <c:w val="6.9272343762078817E-2"/>
          <c:h val="0.5069005614804474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январь-октябрь 2022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101.6</c:v>
                </c:pt>
                <c:pt idx="1">
                  <c:v>107.6</c:v>
                </c:pt>
                <c:pt idx="2" formatCode="0.0">
                  <c:v>105.4</c:v>
                </c:pt>
                <c:pt idx="3" formatCode="0.0">
                  <c:v>113.9</c:v>
                </c:pt>
                <c:pt idx="4">
                  <c:v>100.8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январь-октябрь 2023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777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385800562788E-3"/>
                  <c:y val="2.884889388826401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109.3</c:v>
                </c:pt>
                <c:pt idx="1">
                  <c:v>108.1</c:v>
                </c:pt>
                <c:pt idx="2" formatCode="#,##0.0">
                  <c:v>89.6</c:v>
                </c:pt>
                <c:pt idx="3">
                  <c:v>107.8</c:v>
                </c:pt>
                <c:pt idx="4">
                  <c:v>105.9</c:v>
                </c:pt>
              </c:numCache>
            </c:numRef>
          </c:val>
        </c:ser>
        <c:axId val="65747968"/>
        <c:axId val="65753856"/>
      </c:barChart>
      <c:catAx>
        <c:axId val="65747968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753856"/>
        <c:crossesAt val="75"/>
        <c:auto val="1"/>
        <c:lblAlgn val="ctr"/>
        <c:lblOffset val="1"/>
        <c:tickLblSkip val="1"/>
        <c:tickMarkSkip val="3"/>
      </c:catAx>
      <c:valAx>
        <c:axId val="65753856"/>
        <c:scaling>
          <c:orientation val="minMax"/>
          <c:max val="130"/>
          <c:min val="75"/>
        </c:scaling>
        <c:delete val="1"/>
        <c:axPos val="l"/>
        <c:numFmt formatCode="General" sourceLinked="0"/>
        <c:tickLblPos val="none"/>
        <c:crossAx val="65747968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342898088659797E-2"/>
          <c:y val="7.1374499240226943E-2"/>
          <c:w val="0.57599182004090599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4434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7 876,7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3.7491046109507555E-17"/>
                  <c:y val="1.1694985495234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8 805,3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01.11.2022</c:v>
                </c:pt>
                <c:pt idx="1">
                  <c:v>01.11.2023</c:v>
                </c:pt>
                <c:pt idx="2">
                  <c:v>01.11.2022</c:v>
                </c:pt>
                <c:pt idx="3">
                  <c:v>01.11.2023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6591.8</c:v>
                </c:pt>
                <c:pt idx="1">
                  <c:v>7149.2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3.9162764863035935E-3"/>
                  <c:y val="-2.271621006051929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11 415,7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4.089979550102287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10 255,9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01.11.2022</c:v>
                </c:pt>
                <c:pt idx="1">
                  <c:v>01.11.2023</c:v>
                </c:pt>
                <c:pt idx="2">
                  <c:v>01.11.2022</c:v>
                </c:pt>
                <c:pt idx="3">
                  <c:v>01.11.2023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10528.5</c:v>
                </c:pt>
                <c:pt idx="1">
                  <c:v>9502.2999999999975</c:v>
                </c:pt>
              </c:numCache>
            </c:numRef>
          </c:val>
        </c:ser>
        <c:gapWidth val="69"/>
        <c:overlap val="100"/>
        <c:axId val="59482880"/>
        <c:axId val="59484416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4.0320593308846879E-3"/>
                  <c:y val="-0.274315958439079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18 627,5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-1.8134096874253618E-3"/>
                  <c:y val="-0.2782551354634386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19 276,4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01.11.2022</c:v>
                </c:pt>
                <c:pt idx="1">
                  <c:v>01.11.2023</c:v>
                </c:pt>
                <c:pt idx="2">
                  <c:v>01.11.2022</c:v>
                </c:pt>
                <c:pt idx="3">
                  <c:v>01.11.2023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17099.2</c:v>
                </c:pt>
                <c:pt idx="3" formatCode="#,##0.0">
                  <c:v>17384.400000000001</c:v>
                </c:pt>
              </c:numCache>
            </c:numRef>
          </c:val>
        </c:ser>
        <c:gapWidth val="88"/>
        <c:overlap val="100"/>
        <c:axId val="145597952"/>
        <c:axId val="145596416"/>
      </c:barChart>
      <c:catAx>
        <c:axId val="5948288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484416"/>
        <c:crossesAt val="0"/>
        <c:lblAlgn val="ctr"/>
        <c:lblOffset val="0"/>
        <c:tickLblSkip val="1"/>
      </c:catAx>
      <c:valAx>
        <c:axId val="59484416"/>
        <c:scaling>
          <c:orientation val="minMax"/>
          <c:max val="25000"/>
          <c:min val="0"/>
        </c:scaling>
        <c:delete val="1"/>
        <c:axPos val="l"/>
        <c:numFmt formatCode="0" sourceLinked="0"/>
        <c:tickLblPos val="none"/>
        <c:crossAx val="59482880"/>
        <c:crosses val="autoZero"/>
        <c:crossBetween val="between"/>
        <c:majorUnit val="100"/>
        <c:minorUnit val="100"/>
      </c:valAx>
      <c:valAx>
        <c:axId val="145596416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45597952"/>
        <c:crosses val="max"/>
        <c:crossBetween val="between"/>
      </c:valAx>
      <c:catAx>
        <c:axId val="145597952"/>
        <c:scaling>
          <c:orientation val="minMax"/>
        </c:scaling>
        <c:delete val="1"/>
        <c:axPos val="b"/>
        <c:tickLblPos val="none"/>
        <c:crossAx val="145596416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507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1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51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497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январь-октябрь 2022 г.</c:v>
                </c:pt>
                <c:pt idx="1">
                  <c:v>январь-октябрь 2023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365.7</c:v>
                </c:pt>
                <c:pt idx="1">
                  <c:v>188.2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77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900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январь-октябрь 2022 г.</c:v>
                </c:pt>
                <c:pt idx="1">
                  <c:v>январь-октябрь 2023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153.6</c:v>
                </c:pt>
                <c:pt idx="1">
                  <c:v>169.5</c:v>
                </c:pt>
              </c:numCache>
            </c:numRef>
          </c:val>
        </c:ser>
        <c:axId val="67703552"/>
        <c:axId val="67705088"/>
      </c:barChart>
      <c:catAx>
        <c:axId val="6770355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67705088"/>
        <c:crossesAt val="0"/>
        <c:lblAlgn val="ctr"/>
        <c:lblOffset val="0"/>
        <c:tickLblSkip val="1"/>
      </c:catAx>
      <c:valAx>
        <c:axId val="67705088"/>
        <c:scaling>
          <c:orientation val="minMax"/>
        </c:scaling>
        <c:delete val="1"/>
        <c:axPos val="l"/>
        <c:numFmt formatCode="General" sourceLinked="0"/>
        <c:tickLblPos val="none"/>
        <c:crossAx val="67703552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dLbl>
              <c:idx val="0"/>
              <c:layout>
                <c:manualLayout>
                  <c:x val="-1.46520146520146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04,8</a:t>
                    </a: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Оброт розничной торговли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dPt>
            <c:idx val="0"/>
            <c:spPr>
              <a:solidFill>
                <a:srgbClr val="CC000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Оброт розничной торговли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115.1</c:v>
                </c:pt>
              </c:numCache>
            </c:numRef>
          </c:val>
        </c:ser>
        <c:axId val="149207296"/>
        <c:axId val="149636992"/>
      </c:barChart>
      <c:catAx>
        <c:axId val="14920729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636992"/>
        <c:crosses val="autoZero"/>
        <c:auto val="1"/>
        <c:lblAlgn val="ctr"/>
        <c:lblOffset val="100"/>
      </c:catAx>
      <c:valAx>
        <c:axId val="149636992"/>
        <c:scaling>
          <c:orientation val="minMax"/>
          <c:max val="150"/>
        </c:scaling>
        <c:delete val="1"/>
        <c:axPos val="l"/>
        <c:numFmt formatCode="General" sourceLinked="1"/>
        <c:tickLblPos val="none"/>
        <c:crossAx val="149207296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CC0000"/>
            </a:solidFill>
          </c:spPr>
          <c:dLbls>
            <c:dLbl>
              <c:idx val="0"/>
              <c:layout/>
              <c:dLblPos val="outEnd"/>
              <c:showVal val="1"/>
            </c:dLbl>
            <c:delete val="1"/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1.4</c:v>
                </c:pt>
              </c:numCache>
            </c:numRef>
          </c:val>
        </c:ser>
        <c:axId val="165444608"/>
        <c:axId val="165438208"/>
      </c:barChart>
      <c:catAx>
        <c:axId val="16544460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438208"/>
        <c:crosses val="autoZero"/>
        <c:auto val="1"/>
        <c:lblAlgn val="ctr"/>
        <c:lblOffset val="100"/>
      </c:catAx>
      <c:valAx>
        <c:axId val="165438208"/>
        <c:scaling>
          <c:orientation val="minMax"/>
          <c:max val="5"/>
        </c:scaling>
        <c:delete val="1"/>
        <c:axPos val="l"/>
        <c:numFmt formatCode="General" sourceLinked="1"/>
        <c:tickLblPos val="none"/>
        <c:crossAx val="165444608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38.200000000000003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CC000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43.9</c:v>
                </c:pt>
              </c:numCache>
            </c:numRef>
          </c:val>
        </c:ser>
        <c:axId val="146638336"/>
        <c:axId val="153426176"/>
      </c:barChart>
      <c:catAx>
        <c:axId val="14663833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3426176"/>
        <c:crosses val="autoZero"/>
        <c:auto val="1"/>
        <c:lblAlgn val="ctr"/>
        <c:lblOffset val="100"/>
      </c:catAx>
      <c:valAx>
        <c:axId val="153426176"/>
        <c:scaling>
          <c:orientation val="minMax"/>
          <c:max val="60"/>
        </c:scaling>
        <c:delete val="1"/>
        <c:axPos val="l"/>
        <c:numFmt formatCode="General" sourceLinked="1"/>
        <c:tickLblPos val="none"/>
        <c:crossAx val="1466383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13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95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645E-3"/>
                  <c:y val="9.370614387487815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61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495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753E-2"/>
                  <c:y val="-2.698671756939741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январь-сентябрь 2023 г.</c:v>
                </c:pt>
                <c:pt idx="1">
                  <c:v>январь-сентябрь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11.2</c:v>
                </c:pt>
                <c:pt idx="1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637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239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80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901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январь-сентябрь 2023 г.</c:v>
                </c:pt>
                <c:pt idx="1">
                  <c:v>январь-сентябрь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8.1</c:v>
                </c:pt>
                <c:pt idx="1">
                  <c:v>8.4</c:v>
                </c:pt>
              </c:numCache>
            </c:numRef>
          </c:val>
        </c:ser>
        <c:gapWidth val="41"/>
        <c:overlap val="-2"/>
        <c:axId val="67677184"/>
        <c:axId val="67691264"/>
      </c:barChart>
      <c:catAx>
        <c:axId val="67677184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67691264"/>
        <c:crossesAt val="6"/>
        <c:lblAlgn val="ctr"/>
        <c:lblOffset val="0"/>
        <c:tickLblSkip val="1"/>
      </c:catAx>
      <c:valAx>
        <c:axId val="67691264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67677184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7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2.7856017997750326E-3"/>
                  <c:y val="9.875172383113127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018747656542932E-3"/>
                  <c:y val="6.473241692246113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8830146231717612E-4"/>
                  <c:y val="7.77187597313047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848893888263979E-3"/>
                  <c:y val="0.10819342497442071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269591301087375E-5"/>
                  <c:y val="7.409582276791676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9.4233220847394074E-4"/>
                  <c:y val="9.5997152898260718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4666666666666682E-3"/>
                  <c:y val="7.6764980648605444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482646819249E-4"/>
                  <c:y val="6.720909886264217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2.2335208098987658E-3"/>
                  <c:y val="5.8321099693046899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8503187101612316E-3"/>
                  <c:y val="3.2526357934071798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2203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597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  <c:pt idx="6">
                  <c:v>4.4000000000000004</c:v>
                </c:pt>
                <c:pt idx="7">
                  <c:v>8.0000000000000016E-2</c:v>
                </c:pt>
                <c:pt idx="8">
                  <c:v>0.9</c:v>
                </c:pt>
                <c:pt idx="9">
                  <c:v>0.9</c:v>
                </c:pt>
                <c:pt idx="1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3160854893304E-3"/>
                  <c:y val="0.11156368165843676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0489238845144357E-2"/>
                  <c:y val="7.959962631789682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8.3398575178103285E-3"/>
                  <c:y val="5.412518350460429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7.0033745781777294E-3"/>
                  <c:y val="0.10512567285021598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91788526434193E-3"/>
                  <c:y val="0.11917078161839949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7.3955755530559376E-3"/>
                  <c:y val="9.058232127763703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8.2780652418448387E-3"/>
                  <c:y val="0.10507584856977624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0402249718785171E-2"/>
                  <c:y val="0.118259709061791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</a:t>
                    </a:r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1.2178777652793399E-2"/>
                  <c:y val="0.12474754215045161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242594675772E-3"/>
                  <c:y val="0.1164126518083544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202505804837E-2"/>
                  <c:y val="5.863580305473871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5128298836063215E-2"/>
                  <c:y val="3.008063751067284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axId val="67663744"/>
        <c:axId val="67665280"/>
      </c:barChart>
      <c:catAx>
        <c:axId val="67663744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665280"/>
        <c:crossesAt val="0"/>
        <c:auto val="1"/>
        <c:lblAlgn val="ctr"/>
        <c:lblOffset val="100"/>
      </c:catAx>
      <c:valAx>
        <c:axId val="67665280"/>
        <c:scaling>
          <c:orientation val="minMax"/>
          <c:max val="9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67663744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495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0.11495</cdr:x>
      <cdr:y>0.19869</cdr:y>
    </cdr:from>
    <cdr:to>
      <cdr:x>0.22998</cdr:x>
      <cdr:y>0.40044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34679" y="228999"/>
          <a:ext cx="735188" cy="2325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19 292,5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0.26073</cdr:x>
      <cdr:y>0.22349</cdr:y>
    </cdr:from>
    <cdr:to>
      <cdr:x>0.37574</cdr:x>
      <cdr:y>0.45156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66401" y="257580"/>
          <a:ext cx="735061" cy="2628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19 061,2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45602-3083-47D0-AC7C-C1E91657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korshakova.oa</cp:lastModifiedBy>
  <cp:revision>14</cp:revision>
  <cp:lastPrinted>2023-12-06T07:49:00Z</cp:lastPrinted>
  <dcterms:created xsi:type="dcterms:W3CDTF">2023-02-21T04:19:00Z</dcterms:created>
  <dcterms:modified xsi:type="dcterms:W3CDTF">2023-12-06T09:49:00Z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