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="00587F89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752066">
        <w:rPr>
          <w:b/>
          <w:sz w:val="26"/>
          <w:szCs w:val="26"/>
        </w:rPr>
        <w:t>расположенн</w:t>
      </w:r>
      <w:r>
        <w:rPr>
          <w:b/>
          <w:sz w:val="26"/>
          <w:szCs w:val="26"/>
        </w:rPr>
        <w:t>о</w:t>
      </w:r>
      <w:r w:rsidR="00587F89">
        <w:rPr>
          <w:b/>
          <w:sz w:val="26"/>
          <w:szCs w:val="26"/>
        </w:rPr>
        <w:t>го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.2. Извещение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 xml:space="preserve">кциона размещается на официальном Интернет-сайте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</w:t>
      </w:r>
      <w:proofErr w:type="gramEnd"/>
      <w:r w:rsidR="009A0B8A">
        <w:rPr>
          <w:b w:val="0"/>
        </w:rPr>
        <w:t xml:space="preserve"> почты</w:t>
      </w:r>
      <w:r w:rsidRPr="002D3C57">
        <w:rPr>
          <w:b w:val="0"/>
        </w:rPr>
        <w:t>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 xml:space="preserve">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>о принятом решен</w:t>
      </w:r>
      <w:proofErr w:type="gramStart"/>
      <w:r w:rsidR="009A0B8A">
        <w:rPr>
          <w:b w:val="0"/>
        </w:rPr>
        <w:t>ии ау</w:t>
      </w:r>
      <w:proofErr w:type="gramEnd"/>
      <w:r w:rsidR="009A0B8A">
        <w:rPr>
          <w:b w:val="0"/>
        </w:rPr>
        <w:t xml:space="preserve">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FC" w:rsidRDefault="009340FC" w:rsidP="00101866">
      <w:r>
        <w:separator/>
      </w:r>
    </w:p>
  </w:endnote>
  <w:endnote w:type="continuationSeparator" w:id="0">
    <w:p w:rsidR="009340FC" w:rsidRDefault="009340FC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FC" w:rsidRDefault="009340FC" w:rsidP="00101866">
      <w:r>
        <w:separator/>
      </w:r>
    </w:p>
  </w:footnote>
  <w:footnote w:type="continuationSeparator" w:id="0">
    <w:p w:rsidR="009340FC" w:rsidRDefault="009340FC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18713D">
        <w:pPr>
          <w:pStyle w:val="a3"/>
          <w:jc w:val="right"/>
        </w:pPr>
        <w:fldSimple w:instr="PAGE   \* MERGEFORMAT">
          <w:r w:rsidR="005F58DF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82"/>
    <w:rsid w:val="00101866"/>
    <w:rsid w:val="001749EE"/>
    <w:rsid w:val="0018713D"/>
    <w:rsid w:val="002D3C57"/>
    <w:rsid w:val="00376A2F"/>
    <w:rsid w:val="00377626"/>
    <w:rsid w:val="003F04BF"/>
    <w:rsid w:val="0044645B"/>
    <w:rsid w:val="00485D73"/>
    <w:rsid w:val="00587F89"/>
    <w:rsid w:val="005E376B"/>
    <w:rsid w:val="005F58DF"/>
    <w:rsid w:val="006315E1"/>
    <w:rsid w:val="00631682"/>
    <w:rsid w:val="00752066"/>
    <w:rsid w:val="007A451C"/>
    <w:rsid w:val="008553BD"/>
    <w:rsid w:val="00905B6C"/>
    <w:rsid w:val="009340FC"/>
    <w:rsid w:val="009A0B8A"/>
    <w:rsid w:val="009C37DD"/>
    <w:rsid w:val="00BF41A5"/>
    <w:rsid w:val="00C54999"/>
    <w:rsid w:val="00D47045"/>
    <w:rsid w:val="00D84A43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Ольга Борисовна Кудрявцева</cp:lastModifiedBy>
  <cp:revision>2</cp:revision>
  <cp:lastPrinted>2015-10-27T02:24:00Z</cp:lastPrinted>
  <dcterms:created xsi:type="dcterms:W3CDTF">2017-03-01T03:38:00Z</dcterms:created>
  <dcterms:modified xsi:type="dcterms:W3CDTF">2017-03-01T03:38:00Z</dcterms:modified>
</cp:coreProperties>
</file>