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87A" w:rsidRPr="008F3BA3" w:rsidRDefault="0022487A" w:rsidP="0022487A">
      <w:pPr>
        <w:shd w:val="clear" w:color="auto" w:fill="FFFFFF"/>
        <w:contextualSpacing/>
        <w:jc w:val="center"/>
        <w:rPr>
          <w:rFonts w:eastAsia="Times New Roman"/>
          <w:b/>
          <w:color w:val="000000" w:themeColor="text1"/>
          <w:lang w:eastAsia="ru-RU"/>
        </w:rPr>
      </w:pPr>
      <w:r w:rsidRPr="008F3BA3">
        <w:rPr>
          <w:rFonts w:eastAsia="Times New Roman"/>
          <w:b/>
          <w:color w:val="000000" w:themeColor="text1"/>
          <w:lang w:eastAsia="ru-RU"/>
        </w:rPr>
        <w:t xml:space="preserve">ОБОБЩЕНИЕ  </w:t>
      </w:r>
    </w:p>
    <w:p w:rsidR="0022487A" w:rsidRPr="008F3BA3" w:rsidRDefault="0022487A" w:rsidP="0022487A">
      <w:pPr>
        <w:shd w:val="clear" w:color="auto" w:fill="FFFFFF"/>
        <w:contextualSpacing/>
        <w:jc w:val="center"/>
        <w:rPr>
          <w:rFonts w:eastAsia="Times New Roman"/>
          <w:b/>
          <w:color w:val="000000" w:themeColor="text1"/>
          <w:lang w:eastAsia="ru-RU"/>
        </w:rPr>
      </w:pPr>
      <w:r>
        <w:rPr>
          <w:rFonts w:eastAsia="Times New Roman"/>
          <w:b/>
          <w:color w:val="000000" w:themeColor="text1"/>
          <w:lang w:eastAsia="ru-RU"/>
        </w:rPr>
        <w:t>результатов анкетирования по вопросу информированности населения о бюджете города Барнаула за 2018 год</w:t>
      </w:r>
    </w:p>
    <w:p w:rsidR="0022487A" w:rsidRPr="008F3BA3" w:rsidRDefault="0022487A" w:rsidP="0022487A">
      <w:pPr>
        <w:shd w:val="clear" w:color="auto" w:fill="FFFFFF"/>
        <w:contextualSpacing/>
        <w:jc w:val="center"/>
        <w:rPr>
          <w:rFonts w:eastAsia="Times New Roman"/>
          <w:color w:val="000000" w:themeColor="text1"/>
          <w:lang w:eastAsia="ru-RU"/>
        </w:rPr>
      </w:pPr>
    </w:p>
    <w:p w:rsidR="0022487A" w:rsidRDefault="0022487A" w:rsidP="0022487A">
      <w:pPr>
        <w:ind w:firstLine="540"/>
        <w:contextualSpacing/>
      </w:pPr>
      <w:r>
        <w:t>В течение 2018 года комитетом по финансам, налоговой и кредитной политике города Барнаула (далее – комитет по финансам) в рамках мероприятий по повышению финансовой грамотности проведено анкетирование населения по «Бюджету для граждан города Барнаула».</w:t>
      </w:r>
    </w:p>
    <w:p w:rsidR="0022487A" w:rsidRDefault="0022487A" w:rsidP="0022487A">
      <w:pPr>
        <w:shd w:val="clear" w:color="auto" w:fill="FFFFFF"/>
        <w:ind w:firstLine="540"/>
        <w:contextualSpacing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опросе, проведенном анонимно и на добровольной основе, приняли участие 604 человека</w:t>
      </w:r>
      <w:r w:rsidRPr="00DC4FF3">
        <w:t xml:space="preserve"> </w:t>
      </w:r>
      <w:r>
        <w:t>(в 2017 – 595, в 2016 – 117)</w:t>
      </w:r>
      <w:r>
        <w:rPr>
          <w:rFonts w:eastAsia="Times New Roman"/>
          <w:lang w:eastAsia="ru-RU"/>
        </w:rPr>
        <w:t>.</w:t>
      </w:r>
    </w:p>
    <w:p w:rsidR="0022487A" w:rsidRDefault="0022487A" w:rsidP="0022487A">
      <w:pPr>
        <w:shd w:val="clear" w:color="auto" w:fill="FFFFFF"/>
        <w:ind w:firstLine="540"/>
        <w:contextualSpacing/>
        <w:rPr>
          <w:color w:val="000000" w:themeColor="text1"/>
        </w:rPr>
      </w:pPr>
      <w:r w:rsidRPr="00207440">
        <w:rPr>
          <w:rFonts w:eastAsia="Times New Roman"/>
          <w:i/>
          <w:noProof/>
          <w:lang w:eastAsia="ru-RU"/>
        </w:rPr>
        <w:drawing>
          <wp:inline distT="0" distB="0" distL="0" distR="0" wp14:anchorId="7B47168A" wp14:editId="71389E52">
            <wp:extent cx="5505450" cy="1704975"/>
            <wp:effectExtent l="38100" t="57150" r="38100" b="476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2487A" w:rsidRDefault="0022487A" w:rsidP="0022487A">
      <w:pPr>
        <w:shd w:val="clear" w:color="auto" w:fill="FFFFFF"/>
        <w:ind w:firstLine="540"/>
        <w:contextualSpacing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Рис 1. Сводные данные по респондентам, проходившим опрос в течение 2018 года</w:t>
      </w:r>
    </w:p>
    <w:p w:rsidR="0022487A" w:rsidRDefault="0022487A" w:rsidP="0022487A">
      <w:pPr>
        <w:shd w:val="clear" w:color="auto" w:fill="FFFFFF"/>
        <w:ind w:firstLine="540"/>
        <w:contextualSpacing/>
        <w:rPr>
          <w:color w:val="000000" w:themeColor="text1"/>
        </w:rPr>
      </w:pPr>
    </w:p>
    <w:p w:rsidR="0022487A" w:rsidRDefault="0022487A" w:rsidP="0022487A">
      <w:pPr>
        <w:shd w:val="clear" w:color="auto" w:fill="FFFFFF"/>
        <w:ind w:firstLine="540"/>
        <w:contextualSpacing/>
        <w:rPr>
          <w:rFonts w:eastAsia="Times New Roman"/>
          <w:lang w:eastAsia="ru-RU"/>
        </w:rPr>
      </w:pPr>
      <w:r>
        <w:rPr>
          <w:color w:val="000000" w:themeColor="text1"/>
        </w:rPr>
        <w:t>По итогам анкетирования выявлено, что с брошюрой «Бюджет для граждан» до проведения опроса были знакомы 42% респондентов, в 2017 и 2016 годах - 39% и 29% соответственно.</w:t>
      </w:r>
    </w:p>
    <w:p w:rsidR="0022487A" w:rsidRDefault="0022487A" w:rsidP="0022487A">
      <w:pPr>
        <w:shd w:val="clear" w:color="auto" w:fill="FFFFFF"/>
        <w:ind w:firstLine="540"/>
        <w:contextualSpacing/>
        <w:rPr>
          <w:rFonts w:eastAsia="Times New Roman"/>
          <w:lang w:eastAsia="ru-RU"/>
        </w:rPr>
      </w:pPr>
      <w:proofErr w:type="gramStart"/>
      <w:r>
        <w:rPr>
          <w:rFonts w:eastAsia="Times New Roman"/>
          <w:lang w:eastAsia="ru-RU"/>
        </w:rPr>
        <w:t>Из общего числа опрошенных 79</w:t>
      </w:r>
      <w:r w:rsidRPr="000D5BAE">
        <w:rPr>
          <w:rFonts w:eastAsia="Times New Roman"/>
          <w:lang w:eastAsia="ru-RU"/>
        </w:rPr>
        <w:t>% охарактеризовали практику публикации бю</w:t>
      </w:r>
      <w:r>
        <w:rPr>
          <w:rFonts w:eastAsia="Times New Roman"/>
          <w:lang w:eastAsia="ru-RU"/>
        </w:rPr>
        <w:t>джета для граждан положительной (в 2017 году-77%,               в 2016 году-52%).</w:t>
      </w:r>
      <w:proofErr w:type="gramEnd"/>
    </w:p>
    <w:p w:rsidR="0022487A" w:rsidRPr="00C96032" w:rsidRDefault="0022487A" w:rsidP="0022487A">
      <w:pPr>
        <w:shd w:val="clear" w:color="auto" w:fill="FFFFFF"/>
        <w:ind w:firstLine="540"/>
        <w:contextualSpacing/>
        <w:rPr>
          <w:rFonts w:eastAsia="Times New Roman"/>
          <w:lang w:eastAsia="ru-RU"/>
        </w:rPr>
      </w:pPr>
      <w:r w:rsidRPr="000D5BAE">
        <w:rPr>
          <w:rFonts w:eastAsia="Times New Roman"/>
          <w:lang w:eastAsia="ru-RU"/>
        </w:rPr>
        <w:t xml:space="preserve">Предложения по совершенствованию брошюры дали </w:t>
      </w:r>
      <w:r>
        <w:rPr>
          <w:rFonts w:eastAsia="Times New Roman"/>
          <w:lang w:eastAsia="ru-RU"/>
        </w:rPr>
        <w:t xml:space="preserve">12 </w:t>
      </w:r>
      <w:proofErr w:type="gramStart"/>
      <w:r>
        <w:rPr>
          <w:rFonts w:eastAsia="Times New Roman"/>
          <w:lang w:eastAsia="ru-RU"/>
        </w:rPr>
        <w:t>опрошенных</w:t>
      </w:r>
      <w:proofErr w:type="gramEnd"/>
      <w:r>
        <w:rPr>
          <w:rFonts w:eastAsia="Times New Roman"/>
          <w:lang w:eastAsia="ru-RU"/>
        </w:rPr>
        <w:t>.</w:t>
      </w:r>
    </w:p>
    <w:p w:rsidR="0022487A" w:rsidRPr="00540285" w:rsidRDefault="0022487A" w:rsidP="0022487A">
      <w:pPr>
        <w:shd w:val="clear" w:color="auto" w:fill="FFFFFF"/>
        <w:ind w:firstLine="540"/>
        <w:contextualSpacing/>
        <w:rPr>
          <w:rFonts w:eastAsia="Times New Roman"/>
          <w:lang w:eastAsia="ru-RU"/>
        </w:rPr>
      </w:pPr>
      <w:r w:rsidRPr="00540285">
        <w:rPr>
          <w:rFonts w:eastAsia="Times New Roman"/>
          <w:lang w:eastAsia="ru-RU"/>
        </w:rPr>
        <w:t>Наиболее эффективными форматами предоставления информации о бюджете для населения, по мнению респондентов, выступа</w:t>
      </w:r>
      <w:r>
        <w:rPr>
          <w:rFonts w:eastAsia="Times New Roman"/>
          <w:lang w:eastAsia="ru-RU"/>
        </w:rPr>
        <w:t>ю</w:t>
      </w:r>
      <w:r w:rsidRPr="00540285">
        <w:rPr>
          <w:rFonts w:eastAsia="Times New Roman"/>
          <w:lang w:eastAsia="ru-RU"/>
        </w:rPr>
        <w:t>т офици</w:t>
      </w:r>
      <w:r>
        <w:rPr>
          <w:rFonts w:eastAsia="Times New Roman"/>
          <w:lang w:eastAsia="ru-RU"/>
        </w:rPr>
        <w:t>альный сайт города Барнаула (42</w:t>
      </w:r>
      <w:r w:rsidRPr="00540285">
        <w:rPr>
          <w:rFonts w:eastAsia="Times New Roman"/>
          <w:lang w:eastAsia="ru-RU"/>
        </w:rPr>
        <w:t>%)</w:t>
      </w:r>
      <w:r>
        <w:rPr>
          <w:rFonts w:eastAsia="Times New Roman"/>
          <w:lang w:eastAsia="ru-RU"/>
        </w:rPr>
        <w:t xml:space="preserve"> и официальные группы администрации города в социальных сетях (</w:t>
      </w:r>
      <w:r w:rsidRPr="00540285">
        <w:rPr>
          <w:rFonts w:eastAsia="Times New Roman"/>
          <w:lang w:eastAsia="ru-RU"/>
        </w:rPr>
        <w:t>3</w:t>
      </w:r>
      <w:r>
        <w:rPr>
          <w:rFonts w:eastAsia="Times New Roman"/>
          <w:lang w:eastAsia="ru-RU"/>
        </w:rPr>
        <w:t>3%</w:t>
      </w:r>
      <w:r w:rsidRPr="00540285">
        <w:rPr>
          <w:rFonts w:eastAsia="Times New Roman"/>
          <w:lang w:eastAsia="ru-RU"/>
        </w:rPr>
        <w:t>).</w:t>
      </w:r>
    </w:p>
    <w:p w:rsidR="0022487A" w:rsidRDefault="0022487A" w:rsidP="0022487A">
      <w:pPr>
        <w:shd w:val="clear" w:color="auto" w:fill="FFFFFF"/>
        <w:ind w:firstLine="540"/>
        <w:contextualSpacing/>
        <w:rPr>
          <w:rFonts w:eastAsia="Times New Roman"/>
          <w:b/>
          <w:lang w:eastAsia="ru-RU"/>
        </w:rPr>
      </w:pPr>
      <w:r>
        <w:rPr>
          <w:noProof/>
          <w:color w:val="000000" w:themeColor="text1"/>
          <w:lang w:eastAsia="ru-RU"/>
        </w:rPr>
        <w:drawing>
          <wp:inline distT="0" distB="0" distL="0" distR="0" wp14:anchorId="241EA91A" wp14:editId="474A00EB">
            <wp:extent cx="4743450" cy="20955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2487A" w:rsidRDefault="0022487A" w:rsidP="0022487A">
      <w:pPr>
        <w:pStyle w:val="a3"/>
        <w:shd w:val="clear" w:color="auto" w:fill="FFFFFF"/>
        <w:tabs>
          <w:tab w:val="left" w:pos="993"/>
        </w:tabs>
        <w:ind w:left="0" w:firstLine="567"/>
        <w:rPr>
          <w:color w:val="000000" w:themeColor="text1"/>
        </w:rPr>
      </w:pPr>
      <w:r>
        <w:rPr>
          <w:color w:val="000000" w:themeColor="text1"/>
        </w:rPr>
        <w:t>Рис. 2 Эффективность форматов предоставления информации</w:t>
      </w:r>
    </w:p>
    <w:p w:rsidR="0022487A" w:rsidRDefault="0022487A" w:rsidP="0022487A">
      <w:pPr>
        <w:ind w:firstLine="567"/>
        <w:rPr>
          <w:rFonts w:eastAsia="Times New Roman"/>
          <w:lang w:eastAsia="ru-RU"/>
        </w:rPr>
      </w:pPr>
      <w:proofErr w:type="gramStart"/>
      <w:r w:rsidRPr="00540285">
        <w:rPr>
          <w:rFonts w:eastAsia="Times New Roman"/>
          <w:lang w:eastAsia="ru-RU"/>
        </w:rPr>
        <w:lastRenderedPageBreak/>
        <w:t>Более четверти опрошенных (</w:t>
      </w:r>
      <w:r>
        <w:rPr>
          <w:rFonts w:eastAsia="Times New Roman"/>
          <w:lang w:eastAsia="ru-RU"/>
        </w:rPr>
        <w:t>27</w:t>
      </w:r>
      <w:r w:rsidRPr="00540285">
        <w:rPr>
          <w:rFonts w:eastAsia="Times New Roman"/>
          <w:lang w:eastAsia="ru-RU"/>
        </w:rPr>
        <w:t xml:space="preserve">%) считают, что </w:t>
      </w:r>
      <w:r>
        <w:rPr>
          <w:rFonts w:eastAsia="Times New Roman"/>
          <w:lang w:eastAsia="ru-RU"/>
        </w:rPr>
        <w:t xml:space="preserve">возможность получения </w:t>
      </w:r>
      <w:r w:rsidRPr="00540285">
        <w:rPr>
          <w:rFonts w:eastAsia="Times New Roman"/>
          <w:lang w:eastAsia="ru-RU"/>
        </w:rPr>
        <w:t>обратной связи от сотрудников комитета по финансам</w:t>
      </w:r>
      <w:r>
        <w:rPr>
          <w:rFonts w:eastAsia="Times New Roman"/>
          <w:lang w:eastAsia="ru-RU"/>
        </w:rPr>
        <w:t xml:space="preserve"> </w:t>
      </w:r>
      <w:r w:rsidRPr="00540285">
        <w:rPr>
          <w:rFonts w:eastAsia="Times New Roman"/>
          <w:lang w:eastAsia="ru-RU"/>
        </w:rPr>
        <w:t>позволит повысить посещаемость сайта администрации города.</w:t>
      </w:r>
      <w:proofErr w:type="gramEnd"/>
      <w:r w:rsidRPr="00BD286F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Также опросом выявлен интерес к интервью и статьям представителей городской администрации по наиболее актуальным темам (22% респондентов). Стоит отметить, что 14</w:t>
      </w:r>
      <w:r w:rsidRPr="00540285">
        <w:rPr>
          <w:rFonts w:eastAsia="Times New Roman"/>
          <w:lang w:eastAsia="ru-RU"/>
        </w:rPr>
        <w:t xml:space="preserve">% </w:t>
      </w:r>
      <w:proofErr w:type="gramStart"/>
      <w:r w:rsidRPr="00540285">
        <w:rPr>
          <w:rFonts w:eastAsia="Times New Roman"/>
          <w:lang w:eastAsia="ru-RU"/>
        </w:rPr>
        <w:t>опрошенных</w:t>
      </w:r>
      <w:proofErr w:type="gramEnd"/>
      <w:r w:rsidRPr="00540285">
        <w:rPr>
          <w:rFonts w:eastAsia="Times New Roman"/>
          <w:lang w:eastAsia="ru-RU"/>
        </w:rPr>
        <w:t xml:space="preserve"> регулярно пользуются сайтом города.</w:t>
      </w:r>
      <w:r>
        <w:rPr>
          <w:rFonts w:eastAsia="Times New Roman"/>
          <w:lang w:eastAsia="ru-RU"/>
        </w:rPr>
        <w:t xml:space="preserve"> Важна информация о порядке формирования и исполнения бюджета, формах финансовой поддержки в отношении определённых социальных групп, что говорит о заинтересованности населения вопросами бюджета.</w:t>
      </w:r>
    </w:p>
    <w:p w:rsidR="0022487A" w:rsidRDefault="0022487A" w:rsidP="0022487A">
      <w:pPr>
        <w:shd w:val="clear" w:color="auto" w:fill="FFFFFF"/>
        <w:ind w:firstLine="567"/>
        <w:contextualSpacing/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D12133B" wp14:editId="3978B2CC">
            <wp:simplePos x="0" y="0"/>
            <wp:positionH relativeFrom="column">
              <wp:posOffset>-194310</wp:posOffset>
            </wp:positionH>
            <wp:positionV relativeFrom="paragraph">
              <wp:posOffset>118745</wp:posOffset>
            </wp:positionV>
            <wp:extent cx="5543550" cy="4829175"/>
            <wp:effectExtent l="0" t="0" r="0" b="0"/>
            <wp:wrapTopAndBottom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lang w:eastAsia="ru-RU"/>
        </w:rPr>
        <w:t xml:space="preserve">Рис. 3 Вопросы, влияющие на частоту посещений сайта администрации города </w:t>
      </w:r>
    </w:p>
    <w:p w:rsidR="0022487A" w:rsidRDefault="0022487A" w:rsidP="0022487A">
      <w:pPr>
        <w:shd w:val="clear" w:color="auto" w:fill="FFFFFF"/>
        <w:ind w:firstLine="540"/>
        <w:contextualSpacing/>
        <w:rPr>
          <w:rFonts w:eastAsia="Times New Roman"/>
          <w:lang w:eastAsia="ru-RU"/>
        </w:rPr>
      </w:pPr>
    </w:p>
    <w:p w:rsidR="0022487A" w:rsidRDefault="0022487A" w:rsidP="0022487A">
      <w:pPr>
        <w:shd w:val="clear" w:color="auto" w:fill="FFFFFF"/>
        <w:ind w:firstLine="540"/>
        <w:contextualSpacing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С 2017 года город Барнаул участвует в краевом проекте поддержки местных инициатив (ППМИ). В этом году в анкету был включен вопрос на выявление информированности населения о данном проекте. Стоит отметить, что 47% </w:t>
      </w:r>
      <w:proofErr w:type="gramStart"/>
      <w:r>
        <w:rPr>
          <w:rFonts w:eastAsia="Times New Roman"/>
          <w:lang w:eastAsia="ru-RU"/>
        </w:rPr>
        <w:t>опрошенных</w:t>
      </w:r>
      <w:proofErr w:type="gramEnd"/>
      <w:r>
        <w:rPr>
          <w:rFonts w:eastAsia="Times New Roman"/>
          <w:lang w:eastAsia="ru-RU"/>
        </w:rPr>
        <w:t xml:space="preserve"> имеют представление о ППМИ. </w:t>
      </w:r>
    </w:p>
    <w:p w:rsidR="0022487A" w:rsidRDefault="0022487A" w:rsidP="0022487A">
      <w:pPr>
        <w:shd w:val="clear" w:color="auto" w:fill="FFFFFF"/>
        <w:ind w:firstLine="540"/>
        <w:contextualSpacing/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lastRenderedPageBreak/>
        <w:drawing>
          <wp:inline distT="0" distB="0" distL="0" distR="0" wp14:anchorId="66701965" wp14:editId="758B16FF">
            <wp:extent cx="5600700" cy="280035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2487A" w:rsidRDefault="0022487A" w:rsidP="0022487A">
      <w:pPr>
        <w:shd w:val="clear" w:color="auto" w:fill="FFFFFF"/>
        <w:ind w:firstLine="540"/>
        <w:contextualSpacing/>
        <w:rPr>
          <w:color w:val="000000" w:themeColor="text1"/>
        </w:rPr>
      </w:pPr>
      <w:r>
        <w:rPr>
          <w:color w:val="000000" w:themeColor="text1"/>
        </w:rPr>
        <w:t>Рис. 4 Осведомленность населения о проекте поддержки местных инициатив</w:t>
      </w:r>
    </w:p>
    <w:p w:rsidR="0022487A" w:rsidRPr="00F62FE3" w:rsidRDefault="0022487A" w:rsidP="0022487A">
      <w:pPr>
        <w:shd w:val="clear" w:color="auto" w:fill="FFFFFF"/>
        <w:ind w:firstLine="540"/>
        <w:contextualSpacing/>
        <w:rPr>
          <w:rFonts w:eastAsia="Times New Roman"/>
          <w:lang w:eastAsia="ru-RU"/>
        </w:rPr>
      </w:pPr>
    </w:p>
    <w:p w:rsidR="0022487A" w:rsidRDefault="0022487A" w:rsidP="0022487A">
      <w:pPr>
        <w:shd w:val="clear" w:color="auto" w:fill="FFFFFF"/>
        <w:ind w:firstLine="540"/>
        <w:contextualSpacing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 вопросах </w:t>
      </w:r>
      <w:proofErr w:type="gramStart"/>
      <w:r>
        <w:rPr>
          <w:rFonts w:eastAsia="Times New Roman"/>
          <w:lang w:eastAsia="ru-RU"/>
        </w:rPr>
        <w:t>приоритетности расходов бюджета города мнения</w:t>
      </w:r>
      <w:proofErr w:type="gramEnd"/>
      <w:r>
        <w:rPr>
          <w:rFonts w:eastAsia="Times New Roman"/>
          <w:lang w:eastAsia="ru-RU"/>
        </w:rPr>
        <w:t xml:space="preserve"> практически равновесны:</w:t>
      </w:r>
    </w:p>
    <w:p w:rsidR="0022487A" w:rsidRPr="00A70F56" w:rsidRDefault="0022487A" w:rsidP="0022487A">
      <w:pPr>
        <w:pStyle w:val="a3"/>
        <w:numPr>
          <w:ilvl w:val="0"/>
          <w:numId w:val="1"/>
        </w:numPr>
        <w:shd w:val="clear" w:color="auto" w:fill="FFFFFF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</w:t>
      </w:r>
      <w:r w:rsidRPr="00A519D2">
        <w:rPr>
          <w:rFonts w:eastAsia="Times New Roman"/>
          <w:lang w:eastAsia="ru-RU"/>
        </w:rPr>
        <w:t>емонт учреждений образования</w:t>
      </w:r>
      <w:r>
        <w:rPr>
          <w:rFonts w:eastAsia="Times New Roman"/>
          <w:lang w:eastAsia="ru-RU"/>
        </w:rPr>
        <w:t xml:space="preserve"> (31%);</w:t>
      </w:r>
    </w:p>
    <w:p w:rsidR="0022487A" w:rsidRDefault="0022487A" w:rsidP="0022487A">
      <w:pPr>
        <w:pStyle w:val="a3"/>
        <w:numPr>
          <w:ilvl w:val="0"/>
          <w:numId w:val="1"/>
        </w:numPr>
        <w:shd w:val="clear" w:color="auto" w:fill="FFFFFF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</w:t>
      </w:r>
      <w:r w:rsidRPr="00A519D2">
        <w:rPr>
          <w:rFonts w:eastAsia="Times New Roman"/>
          <w:lang w:eastAsia="ru-RU"/>
        </w:rPr>
        <w:t>овышение заработной платы работников бюджетной сферы</w:t>
      </w:r>
      <w:r>
        <w:rPr>
          <w:rFonts w:eastAsia="Times New Roman"/>
          <w:lang w:eastAsia="ru-RU"/>
        </w:rPr>
        <w:t xml:space="preserve"> (31%);</w:t>
      </w:r>
    </w:p>
    <w:p w:rsidR="0022487A" w:rsidRPr="00A70F56" w:rsidRDefault="0022487A" w:rsidP="0022487A">
      <w:pPr>
        <w:pStyle w:val="a3"/>
        <w:numPr>
          <w:ilvl w:val="0"/>
          <w:numId w:val="1"/>
        </w:numPr>
        <w:shd w:val="clear" w:color="auto" w:fill="FFFFFF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</w:t>
      </w:r>
      <w:r w:rsidRPr="00A70F56">
        <w:rPr>
          <w:rFonts w:eastAsia="Times New Roman"/>
          <w:lang w:eastAsia="ru-RU"/>
        </w:rPr>
        <w:t>емонт автомобильных дорог (</w:t>
      </w:r>
      <w:r>
        <w:rPr>
          <w:rFonts w:eastAsia="Times New Roman"/>
          <w:lang w:eastAsia="ru-RU"/>
        </w:rPr>
        <w:t>25</w:t>
      </w:r>
      <w:r w:rsidRPr="00A70F56">
        <w:rPr>
          <w:rFonts w:eastAsia="Times New Roman"/>
          <w:lang w:eastAsia="ru-RU"/>
        </w:rPr>
        <w:t>%);</w:t>
      </w:r>
    </w:p>
    <w:p w:rsidR="0022487A" w:rsidRDefault="0022487A" w:rsidP="0022487A">
      <w:pPr>
        <w:shd w:val="clear" w:color="auto" w:fill="FFFFFF"/>
        <w:ind w:firstLine="540"/>
        <w:contextualSpacing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Иные варианты расходования сре</w:t>
      </w:r>
      <w:proofErr w:type="gramStart"/>
      <w:r>
        <w:rPr>
          <w:rFonts w:eastAsia="Times New Roman"/>
          <w:lang w:eastAsia="ru-RU"/>
        </w:rPr>
        <w:t>дств пр</w:t>
      </w:r>
      <w:proofErr w:type="gramEnd"/>
      <w:r>
        <w:rPr>
          <w:rFonts w:eastAsia="Times New Roman"/>
          <w:lang w:eastAsia="ru-RU"/>
        </w:rPr>
        <w:t>едложили 13% респондентов, в том числе:</w:t>
      </w:r>
    </w:p>
    <w:p w:rsidR="0022487A" w:rsidRPr="00316A7E" w:rsidRDefault="0022487A" w:rsidP="0022487A">
      <w:pPr>
        <w:pStyle w:val="a3"/>
        <w:numPr>
          <w:ilvl w:val="0"/>
          <w:numId w:val="2"/>
        </w:numPr>
        <w:shd w:val="clear" w:color="auto" w:fill="FFFFFF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</w:t>
      </w:r>
      <w:r w:rsidRPr="00316A7E">
        <w:rPr>
          <w:rFonts w:eastAsia="Times New Roman"/>
          <w:lang w:eastAsia="ru-RU"/>
        </w:rPr>
        <w:t>овышение и</w:t>
      </w:r>
      <w:r>
        <w:rPr>
          <w:rFonts w:eastAsia="Times New Roman"/>
          <w:lang w:eastAsia="ru-RU"/>
        </w:rPr>
        <w:t xml:space="preserve">нвестиционной привлекательности </w:t>
      </w:r>
      <w:r w:rsidRPr="00316A7E">
        <w:rPr>
          <w:rFonts w:eastAsia="Times New Roman"/>
          <w:lang w:eastAsia="ru-RU"/>
        </w:rPr>
        <w:t>и поддержка бизнеса;</w:t>
      </w:r>
    </w:p>
    <w:p w:rsidR="0022487A" w:rsidRPr="00316A7E" w:rsidRDefault="0022487A" w:rsidP="0022487A">
      <w:pPr>
        <w:pStyle w:val="a3"/>
        <w:numPr>
          <w:ilvl w:val="0"/>
          <w:numId w:val="2"/>
        </w:numPr>
        <w:shd w:val="clear" w:color="auto" w:fill="FFFFFF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у</w:t>
      </w:r>
      <w:r w:rsidRPr="00316A7E">
        <w:rPr>
          <w:rFonts w:eastAsia="Times New Roman"/>
          <w:lang w:eastAsia="ru-RU"/>
        </w:rPr>
        <w:t>лучшение социальной сферы (помощь детям и пожилым людям, поддержка м</w:t>
      </w:r>
      <w:r>
        <w:rPr>
          <w:rFonts w:eastAsia="Times New Roman"/>
          <w:lang w:eastAsia="ru-RU"/>
        </w:rPr>
        <w:t>олодых</w:t>
      </w:r>
      <w:r w:rsidRPr="00316A7E">
        <w:rPr>
          <w:rFonts w:eastAsia="Times New Roman"/>
          <w:lang w:eastAsia="ru-RU"/>
        </w:rPr>
        <w:t xml:space="preserve"> семей, разработка программ дополнительного образования, развитие спорта  и т.д.);</w:t>
      </w:r>
    </w:p>
    <w:p w:rsidR="0022487A" w:rsidRPr="00316A7E" w:rsidRDefault="0022487A" w:rsidP="0022487A">
      <w:pPr>
        <w:pStyle w:val="a3"/>
        <w:numPr>
          <w:ilvl w:val="0"/>
          <w:numId w:val="2"/>
        </w:numPr>
        <w:shd w:val="clear" w:color="auto" w:fill="FFFFFF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</w:t>
      </w:r>
      <w:r w:rsidRPr="00316A7E">
        <w:rPr>
          <w:rFonts w:eastAsia="Times New Roman"/>
          <w:lang w:eastAsia="ru-RU"/>
        </w:rPr>
        <w:t xml:space="preserve">охранение и ремонт учреждений культуры и </w:t>
      </w:r>
      <w:r>
        <w:rPr>
          <w:rFonts w:eastAsia="Times New Roman"/>
          <w:lang w:eastAsia="ru-RU"/>
        </w:rPr>
        <w:t>образования</w:t>
      </w:r>
      <w:r w:rsidRPr="00316A7E">
        <w:rPr>
          <w:rFonts w:eastAsia="Times New Roman"/>
          <w:lang w:eastAsia="ru-RU"/>
        </w:rPr>
        <w:t>;</w:t>
      </w:r>
    </w:p>
    <w:p w:rsidR="0022487A" w:rsidRPr="00316A7E" w:rsidRDefault="0022487A" w:rsidP="0022487A">
      <w:pPr>
        <w:pStyle w:val="a3"/>
        <w:numPr>
          <w:ilvl w:val="0"/>
          <w:numId w:val="2"/>
        </w:numPr>
        <w:shd w:val="clear" w:color="auto" w:fill="FFFFFF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</w:t>
      </w:r>
      <w:r w:rsidRPr="00316A7E">
        <w:rPr>
          <w:rFonts w:eastAsia="Times New Roman"/>
          <w:lang w:eastAsia="ru-RU"/>
        </w:rPr>
        <w:t>зеленение города, ремонт тротуаров, обустройство дворовых территорий, в том числе детских площадок;</w:t>
      </w:r>
    </w:p>
    <w:p w:rsidR="0022487A" w:rsidRDefault="0022487A" w:rsidP="0022487A">
      <w:pPr>
        <w:pStyle w:val="a3"/>
        <w:numPr>
          <w:ilvl w:val="0"/>
          <w:numId w:val="2"/>
        </w:numPr>
        <w:shd w:val="clear" w:color="auto" w:fill="FFFFFF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</w:t>
      </w:r>
      <w:r w:rsidRPr="00316A7E">
        <w:rPr>
          <w:rFonts w:eastAsia="Times New Roman"/>
          <w:lang w:eastAsia="ru-RU"/>
        </w:rPr>
        <w:t>оздание новых рабочих мест</w:t>
      </w:r>
      <w:r>
        <w:rPr>
          <w:rFonts w:eastAsia="Times New Roman"/>
          <w:lang w:eastAsia="ru-RU"/>
        </w:rPr>
        <w:t>;</w:t>
      </w:r>
    </w:p>
    <w:p w:rsidR="0022487A" w:rsidRPr="00316A7E" w:rsidRDefault="0022487A" w:rsidP="0022487A">
      <w:pPr>
        <w:pStyle w:val="a3"/>
        <w:numPr>
          <w:ilvl w:val="0"/>
          <w:numId w:val="2"/>
        </w:numPr>
        <w:shd w:val="clear" w:color="auto" w:fill="FFFFFF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др.</w:t>
      </w:r>
    </w:p>
    <w:p w:rsidR="0022487A" w:rsidRDefault="0022487A" w:rsidP="0022487A">
      <w:pPr>
        <w:shd w:val="clear" w:color="auto" w:fill="FFFFFF"/>
        <w:ind w:firstLine="540"/>
        <w:contextualSpacing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Основными источниками доходной части бюджета города подавляющее большинство видят создание более благоприятных условий для развития бизнеса (57%) и его легализации (37%).</w:t>
      </w:r>
    </w:p>
    <w:p w:rsidR="0022487A" w:rsidRDefault="0022487A" w:rsidP="0022487A">
      <w:pPr>
        <w:shd w:val="clear" w:color="auto" w:fill="FFFFFF"/>
        <w:ind w:firstLine="540"/>
        <w:contextualSpacing/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lastRenderedPageBreak/>
        <w:drawing>
          <wp:inline distT="0" distB="0" distL="0" distR="0" wp14:anchorId="0DE73FCE" wp14:editId="7B87742F">
            <wp:extent cx="5191125" cy="30099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2487A" w:rsidRDefault="0022487A" w:rsidP="0022487A">
      <w:pPr>
        <w:shd w:val="clear" w:color="auto" w:fill="FFFFFF"/>
        <w:ind w:firstLine="540"/>
        <w:contextualSpacing/>
        <w:rPr>
          <w:rFonts w:eastAsia="Times New Roman"/>
          <w:lang w:eastAsia="ru-RU"/>
        </w:rPr>
      </w:pPr>
    </w:p>
    <w:p w:rsidR="0022487A" w:rsidRDefault="0022487A" w:rsidP="0022487A">
      <w:pPr>
        <w:shd w:val="clear" w:color="auto" w:fill="FFFFFF"/>
        <w:ind w:firstLine="540"/>
        <w:contextualSpacing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Рис 5. </w:t>
      </w:r>
      <w:r w:rsidRPr="00D1784B">
        <w:rPr>
          <w:rFonts w:eastAsia="Times New Roman"/>
          <w:lang w:eastAsia="ru-RU"/>
        </w:rPr>
        <w:t>Источники увеличени</w:t>
      </w:r>
      <w:r>
        <w:rPr>
          <w:rFonts w:eastAsia="Times New Roman"/>
          <w:lang w:eastAsia="ru-RU"/>
        </w:rPr>
        <w:t>я</w:t>
      </w:r>
      <w:r w:rsidRPr="00D1784B">
        <w:rPr>
          <w:rFonts w:eastAsia="Times New Roman"/>
          <w:lang w:eastAsia="ru-RU"/>
        </w:rPr>
        <w:t xml:space="preserve"> доходной части</w:t>
      </w:r>
    </w:p>
    <w:p w:rsidR="0022487A" w:rsidRDefault="0022487A" w:rsidP="0022487A">
      <w:pPr>
        <w:shd w:val="clear" w:color="auto" w:fill="FFFFFF"/>
        <w:ind w:firstLine="540"/>
        <w:contextualSpacing/>
        <w:rPr>
          <w:rFonts w:eastAsia="Times New Roman"/>
          <w:lang w:eastAsia="ru-RU"/>
        </w:rPr>
      </w:pPr>
    </w:p>
    <w:p w:rsidR="0022487A" w:rsidRDefault="0022487A" w:rsidP="0022487A">
      <w:pPr>
        <w:shd w:val="clear" w:color="auto" w:fill="FFFFFF"/>
        <w:ind w:firstLine="540"/>
        <w:contextualSpacing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Варианты, предложенные респондентами в части увеличения налоговых и неналоговых доходов, включают развитие промышленного сектора, борьбу с коррупцией, присоединение городов-спутников, прироста населения в целом.</w:t>
      </w:r>
    </w:p>
    <w:p w:rsidR="0022487A" w:rsidRPr="00E86C17" w:rsidRDefault="0022487A" w:rsidP="0022487A">
      <w:pPr>
        <w:shd w:val="clear" w:color="auto" w:fill="FFFFFF"/>
        <w:ind w:firstLine="540"/>
        <w:contextualSpacing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Брошюра «Бюджет для граждан» </w:t>
      </w:r>
      <w:r w:rsidRPr="007633E2">
        <w:rPr>
          <w:rFonts w:eastAsia="Times New Roman"/>
          <w:lang w:eastAsia="ru-RU"/>
        </w:rPr>
        <w:t>является понятн</w:t>
      </w:r>
      <w:r>
        <w:rPr>
          <w:rFonts w:eastAsia="Times New Roman"/>
          <w:lang w:eastAsia="ru-RU"/>
        </w:rPr>
        <w:t>ой</w:t>
      </w:r>
      <w:r w:rsidRPr="007633E2">
        <w:rPr>
          <w:rFonts w:eastAsia="Times New Roman"/>
          <w:lang w:eastAsia="ru-RU"/>
        </w:rPr>
        <w:t xml:space="preserve"> и доступн</w:t>
      </w:r>
      <w:r>
        <w:rPr>
          <w:rFonts w:eastAsia="Times New Roman"/>
          <w:lang w:eastAsia="ru-RU"/>
        </w:rPr>
        <w:t>ой</w:t>
      </w:r>
      <w:r w:rsidRPr="007633E2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для населения, принявшего участие в опросе,</w:t>
      </w:r>
      <w:r w:rsidRPr="007633E2">
        <w:rPr>
          <w:rFonts w:eastAsia="Times New Roman"/>
          <w:lang w:eastAsia="ru-RU"/>
        </w:rPr>
        <w:t xml:space="preserve"> но требует</w:t>
      </w:r>
      <w:r>
        <w:rPr>
          <w:rFonts w:eastAsia="Times New Roman"/>
          <w:lang w:eastAsia="ru-RU"/>
        </w:rPr>
        <w:t xml:space="preserve"> дальнейшего развития</w:t>
      </w:r>
      <w:r w:rsidRPr="007633E2">
        <w:rPr>
          <w:rFonts w:eastAsia="Times New Roman"/>
          <w:lang w:eastAsia="ru-RU"/>
        </w:rPr>
        <w:t>. В связи с этим,</w:t>
      </w:r>
      <w:r w:rsidRPr="00DC41C7">
        <w:rPr>
          <w:rFonts w:eastAsia="Times New Roman"/>
          <w:b/>
          <w:lang w:eastAsia="ru-RU"/>
        </w:rPr>
        <w:t xml:space="preserve"> </w:t>
      </w:r>
      <w:r w:rsidRPr="00E86C17">
        <w:rPr>
          <w:rFonts w:eastAsia="Times New Roman"/>
          <w:lang w:eastAsia="ru-RU"/>
        </w:rPr>
        <w:t xml:space="preserve">подготовлены следующие предложения: </w:t>
      </w:r>
    </w:p>
    <w:p w:rsidR="0022487A" w:rsidRPr="00003E12" w:rsidRDefault="0022487A" w:rsidP="0022487A">
      <w:pPr>
        <w:pStyle w:val="a3"/>
        <w:numPr>
          <w:ilvl w:val="0"/>
          <w:numId w:val="3"/>
        </w:numPr>
        <w:shd w:val="clear" w:color="auto" w:fill="FFFFFF"/>
        <w:rPr>
          <w:rFonts w:eastAsia="Times New Roman"/>
          <w:lang w:eastAsia="ru-RU"/>
        </w:rPr>
      </w:pPr>
      <w:r w:rsidRPr="00003E12">
        <w:rPr>
          <w:rFonts w:eastAsia="Times New Roman"/>
          <w:lang w:eastAsia="ru-RU"/>
        </w:rPr>
        <w:t xml:space="preserve">развивать практику использования </w:t>
      </w:r>
      <w:r>
        <w:rPr>
          <w:rFonts w:eastAsia="Times New Roman"/>
          <w:lang w:eastAsia="ru-RU"/>
        </w:rPr>
        <w:t>брошюры «Б</w:t>
      </w:r>
      <w:r w:rsidRPr="00003E12">
        <w:rPr>
          <w:rFonts w:eastAsia="Times New Roman"/>
          <w:lang w:eastAsia="ru-RU"/>
        </w:rPr>
        <w:t>юджет для граждан</w:t>
      </w:r>
      <w:r>
        <w:rPr>
          <w:rFonts w:eastAsia="Times New Roman"/>
          <w:lang w:eastAsia="ru-RU"/>
        </w:rPr>
        <w:t>»</w:t>
      </w:r>
      <w:r w:rsidRPr="00003E12">
        <w:rPr>
          <w:rFonts w:eastAsia="Times New Roman"/>
          <w:lang w:eastAsia="ru-RU"/>
        </w:rPr>
        <w:t xml:space="preserve"> в качестве раздаточного материала, иных методов распространения информации о бюджете города;</w:t>
      </w:r>
    </w:p>
    <w:p w:rsidR="0022487A" w:rsidRPr="00003E12" w:rsidRDefault="0022487A" w:rsidP="0022487A">
      <w:pPr>
        <w:pStyle w:val="a3"/>
        <w:numPr>
          <w:ilvl w:val="0"/>
          <w:numId w:val="3"/>
        </w:numPr>
        <w:shd w:val="clear" w:color="auto" w:fill="FFFFFF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продолжить работу по информированию</w:t>
      </w:r>
      <w:r w:rsidRPr="00003E12">
        <w:rPr>
          <w:rFonts w:eastAsia="Times New Roman"/>
          <w:lang w:eastAsia="ru-RU"/>
        </w:rPr>
        <w:t xml:space="preserve"> населения ППМИ;</w:t>
      </w:r>
    </w:p>
    <w:p w:rsidR="0022487A" w:rsidRPr="00003E12" w:rsidRDefault="0022487A" w:rsidP="0022487A">
      <w:pPr>
        <w:pStyle w:val="a3"/>
        <w:numPr>
          <w:ilvl w:val="0"/>
          <w:numId w:val="3"/>
        </w:numPr>
        <w:shd w:val="clear" w:color="auto" w:fill="FFFFFF"/>
        <w:rPr>
          <w:rFonts w:eastAsia="Times New Roman"/>
          <w:lang w:eastAsia="ru-RU"/>
        </w:rPr>
      </w:pPr>
      <w:r w:rsidRPr="00003E12">
        <w:rPr>
          <w:rFonts w:eastAsia="Times New Roman"/>
          <w:lang w:eastAsia="ru-RU"/>
        </w:rPr>
        <w:t xml:space="preserve">при подготовке </w:t>
      </w:r>
      <w:r>
        <w:rPr>
          <w:rFonts w:eastAsia="Times New Roman"/>
          <w:lang w:eastAsia="ru-RU"/>
        </w:rPr>
        <w:t>брошюры «Б</w:t>
      </w:r>
      <w:r w:rsidRPr="00003E12">
        <w:rPr>
          <w:rFonts w:eastAsia="Times New Roman"/>
          <w:lang w:eastAsia="ru-RU"/>
        </w:rPr>
        <w:t>юджет для граждан</w:t>
      </w:r>
      <w:r>
        <w:rPr>
          <w:rFonts w:eastAsia="Times New Roman"/>
          <w:lang w:eastAsia="ru-RU"/>
        </w:rPr>
        <w:t>»</w:t>
      </w:r>
      <w:r w:rsidRPr="00003E12">
        <w:rPr>
          <w:rFonts w:eastAsia="Times New Roman"/>
          <w:lang w:eastAsia="ru-RU"/>
        </w:rPr>
        <w:t xml:space="preserve"> по исполнению решения о бюджете акцентировать внимание на результативност</w:t>
      </w:r>
      <w:r>
        <w:rPr>
          <w:rFonts w:eastAsia="Times New Roman"/>
          <w:lang w:eastAsia="ru-RU"/>
        </w:rPr>
        <w:t>ь</w:t>
      </w:r>
      <w:r w:rsidRPr="00003E12">
        <w:rPr>
          <w:rFonts w:eastAsia="Times New Roman"/>
          <w:lang w:eastAsia="ru-RU"/>
        </w:rPr>
        <w:t xml:space="preserve"> бюджетных расходов;</w:t>
      </w:r>
    </w:p>
    <w:p w:rsidR="0022487A" w:rsidRPr="00B37E43" w:rsidRDefault="0022487A" w:rsidP="0022487A">
      <w:pPr>
        <w:pStyle w:val="a3"/>
        <w:numPr>
          <w:ilvl w:val="0"/>
          <w:numId w:val="3"/>
        </w:numPr>
        <w:shd w:val="clear" w:color="auto" w:fill="FFFFFF"/>
        <w:ind w:hanging="409"/>
        <w:rPr>
          <w:rFonts w:eastAsia="Times New Roman"/>
          <w:lang w:eastAsia="ru-RU"/>
        </w:rPr>
      </w:pPr>
      <w:r w:rsidRPr="00B37E43">
        <w:rPr>
          <w:rFonts w:eastAsia="Times New Roman"/>
          <w:lang w:eastAsia="ru-RU"/>
        </w:rPr>
        <w:t>продолжить проведение опросов среди населения по вопросам бюджета для граждан.</w:t>
      </w:r>
    </w:p>
    <w:p w:rsidR="00756E92" w:rsidRDefault="00756E92">
      <w:bookmarkStart w:id="0" w:name="_GoBack"/>
      <w:bookmarkEnd w:id="0"/>
    </w:p>
    <w:sectPr w:rsidR="00756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83630"/>
    <w:multiLevelType w:val="hybridMultilevel"/>
    <w:tmpl w:val="0D92DEF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7445453F"/>
    <w:multiLevelType w:val="hybridMultilevel"/>
    <w:tmpl w:val="9192249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7570104A"/>
    <w:multiLevelType w:val="hybridMultilevel"/>
    <w:tmpl w:val="0FB010B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87A"/>
    <w:rsid w:val="0022487A"/>
    <w:rsid w:val="0075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87A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8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48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8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87A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8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48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8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0"/>
      <c:rotY val="10"/>
      <c:rAngAx val="0"/>
      <c:perspective val="0"/>
    </c:view3D>
    <c:floor>
      <c:thickness val="0"/>
      <c:spPr>
        <a:noFill/>
        <a:ln w="9525">
          <a:noFill/>
        </a:ln>
      </c:spPr>
    </c:floor>
    <c:sideWall>
      <c:thickness val="0"/>
      <c:spPr>
        <a:noFill/>
        <a:ln w="25400">
          <a:noFill/>
        </a:ln>
        <a:effectLst/>
      </c:spPr>
    </c:sideWall>
    <c:backWall>
      <c:thickness val="0"/>
      <c:spPr>
        <a:noFill/>
        <a:ln w="25400">
          <a:noFill/>
        </a:ln>
        <a:effectLst/>
      </c:spPr>
    </c:backWall>
    <c:plotArea>
      <c:layout>
        <c:manualLayout>
          <c:layoutTarget val="inner"/>
          <c:xMode val="edge"/>
          <c:yMode val="edge"/>
          <c:x val="0"/>
          <c:y val="3.1746031746031744E-2"/>
          <c:w val="0.88924781675017894"/>
          <c:h val="0.8157142857142857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Мужской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До 20 лет</c:v>
                </c:pt>
                <c:pt idx="1">
                  <c:v>20-29 лет</c:v>
                </c:pt>
                <c:pt idx="2">
                  <c:v>30-39 лет</c:v>
                </c:pt>
                <c:pt idx="3">
                  <c:v>40-55 лет</c:v>
                </c:pt>
                <c:pt idx="4">
                  <c:v>Старше 55 лет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18</c:v>
                </c:pt>
                <c:pt idx="1">
                  <c:v>59</c:v>
                </c:pt>
                <c:pt idx="2">
                  <c:v>53</c:v>
                </c:pt>
                <c:pt idx="3">
                  <c:v>41</c:v>
                </c:pt>
                <c:pt idx="4">
                  <c:v>16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Женский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До 20 лет</c:v>
                </c:pt>
                <c:pt idx="1">
                  <c:v>20-29 лет</c:v>
                </c:pt>
                <c:pt idx="2">
                  <c:v>30-39 лет</c:v>
                </c:pt>
                <c:pt idx="3">
                  <c:v>40-55 лет</c:v>
                </c:pt>
                <c:pt idx="4">
                  <c:v>Старше 55 лет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27</c:v>
                </c:pt>
                <c:pt idx="1">
                  <c:v>106</c:v>
                </c:pt>
                <c:pt idx="2">
                  <c:v>132</c:v>
                </c:pt>
                <c:pt idx="3">
                  <c:v>119</c:v>
                </c:pt>
                <c:pt idx="4">
                  <c:v>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9223168"/>
        <c:axId val="179229056"/>
        <c:axId val="0"/>
      </c:bar3DChart>
      <c:catAx>
        <c:axId val="17922316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79229056"/>
        <c:crosses val="autoZero"/>
        <c:auto val="1"/>
        <c:lblAlgn val="ctr"/>
        <c:lblOffset val="100"/>
        <c:noMultiLvlLbl val="0"/>
      </c:catAx>
      <c:valAx>
        <c:axId val="179229056"/>
        <c:scaling>
          <c:orientation val="minMax"/>
        </c:scaling>
        <c:delete val="1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792231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532516768737243"/>
          <c:y val="0.37268685164354454"/>
          <c:w val="0.1307859434237387"/>
          <c:h val="0.19510248718910136"/>
        </c:manualLayout>
      </c:layout>
      <c:overlay val="0"/>
      <c:txPr>
        <a:bodyPr/>
        <a:lstStyle/>
        <a:p>
          <a:pPr>
            <a:defRPr sz="105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  <a:scene3d>
      <a:camera prst="orthographicFront"/>
      <a:lightRig rig="threePt" dir="t"/>
    </a:scene3d>
    <a:sp3d/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600">
                <a:latin typeface="Times New Roman" panose="02020603050405020304" pitchFamily="18" charset="0"/>
                <a:cs typeface="Times New Roman" panose="02020603050405020304" pitchFamily="18" charset="0"/>
              </a:rPr>
              <a:t>Источники</a:t>
            </a:r>
            <a:r>
              <a:rPr lang="ru-RU" sz="16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информирования</a:t>
            </a:r>
            <a:endParaRPr lang="ru-RU" sz="16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25218740886555846"/>
          <c:y val="1.984126984126984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  <c:spPr>
        <a:noFill/>
        <a:ln w="9525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48516058986602578"/>
          <c:y val="0.13007833005249345"/>
          <c:w val="0.48471892820626339"/>
          <c:h val="0.76907931430446197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.16900336253149079"/>
                  <c:y val="-0.53918676181102365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42,0%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5.1037535970654267E-2"/>
                  <c:y val="-0.1929564468503937"/>
                </c:manualLayout>
              </c:layout>
              <c:tx>
                <c:rich>
                  <a:bodyPr/>
                  <a:lstStyle/>
                  <a:p>
                    <a:r>
                      <a:rPr lang="en-US" sz="1050" b="1">
                        <a:solidFill>
                          <a:schemeClr val="bg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3</a:t>
                    </a:r>
                    <a:r>
                      <a:rPr lang="ru-RU" sz="1050" b="1">
                        <a:solidFill>
                          <a:schemeClr val="bg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3,0%</a:t>
                    </a:r>
                    <a:endParaRPr lang="en-US" sz="1000" b="1">
                      <a:solidFill>
                        <a:schemeClr val="bg1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0.24115907198347195"/>
                  <c:y val="0.1547617290026246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6,0%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0.35327325048224395"/>
                  <c:y val="0.5049602198162729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9,0%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 b="1">
                    <a:solidFill>
                      <a:schemeClr val="bg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Общественные обсуждения (публичные слушания)</c:v>
                </c:pt>
                <c:pt idx="1">
                  <c:v>Печатные издания (брошюры, буклеты)</c:v>
                </c:pt>
                <c:pt idx="2">
                  <c:v>Социальные сети</c:v>
                </c:pt>
                <c:pt idx="3">
                  <c:v>Официальный сайт города Барнаула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</c:v>
                </c:pt>
                <c:pt idx="1">
                  <c:v>16</c:v>
                </c:pt>
                <c:pt idx="2">
                  <c:v>33</c:v>
                </c:pt>
                <c:pt idx="3">
                  <c:v>42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8"/>
        <c:gapDepth val="66"/>
        <c:shape val="cylinder"/>
        <c:axId val="172655360"/>
        <c:axId val="172656896"/>
        <c:axId val="0"/>
      </c:bar3DChart>
      <c:catAx>
        <c:axId val="172655360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105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72656896"/>
        <c:crosses val="autoZero"/>
        <c:auto val="1"/>
        <c:lblAlgn val="ctr"/>
        <c:lblOffset val="100"/>
        <c:noMultiLvlLbl val="0"/>
      </c:catAx>
      <c:valAx>
        <c:axId val="1726568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7265536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600"/>
            </a:pPr>
            <a:r>
              <a:rPr lang="ru-RU" sz="1600"/>
              <a:t>Какая информация о бюджете Барнаула могла бы увеличить частоту Ваших посещений сайта администрации города?</a:t>
            </a:r>
          </a:p>
          <a:p>
            <a:pPr>
              <a:defRPr sz="1600"/>
            </a:pPr>
            <a:endParaRPr lang="ru-RU" sz="1600"/>
          </a:p>
        </c:rich>
      </c:tx>
      <c:layout>
        <c:manualLayout>
          <c:xMode val="edge"/>
          <c:yMode val="edge"/>
          <c:x val="0.11907315709247684"/>
          <c:y val="0"/>
        </c:manualLayout>
      </c:layout>
      <c:overlay val="0"/>
    </c:title>
    <c:autoTitleDeleted val="0"/>
    <c:view3D>
      <c:rotX val="20"/>
      <c:rotY val="10"/>
      <c:rAngAx val="0"/>
      <c:perspective val="50"/>
    </c:view3D>
    <c:floor>
      <c:thickness val="0"/>
      <c:spPr>
        <a:noFill/>
        <a:ln w="9525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1.5873041642990502E-2"/>
          <c:y val="8.56976605734934E-2"/>
          <c:w val="0.97052154195011342"/>
          <c:h val="0.4151532930041498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Возможность получения через сайт обратной связи от сотрудников комитета по финансам 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6350"/>
            </a:sp3d>
          </c:spPr>
          <c:invertIfNegative val="0"/>
          <c:dLbls>
            <c:dLbl>
              <c:idx val="0"/>
              <c:layout>
                <c:manualLayout>
                  <c:x val="2.0785852094726518E-17"/>
                  <c:y val="6.0493991923325968E-2"/>
                </c:manualLayout>
              </c:layout>
              <c:tx>
                <c:rich>
                  <a:bodyPr/>
                  <a:lstStyle/>
                  <a:p>
                    <a:r>
                      <a:rPr lang="ru-RU" sz="1050">
                        <a:solidFill>
                          <a:schemeClr val="bg1"/>
                        </a:solidFill>
                      </a:rPr>
                      <a:t>27,0%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27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Интервью и статьи представителей городской администрации по наиболее актуальным темам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1822149481723948E-3"/>
                  <c:y val="5.4421768707482991E-2"/>
                </c:manualLayout>
              </c:layout>
              <c:tx>
                <c:rich>
                  <a:bodyPr/>
                  <a:lstStyle/>
                  <a:p>
                    <a:r>
                      <a:rPr lang="en-US" sz="1050">
                        <a:solidFill>
                          <a:schemeClr val="bg1"/>
                        </a:solidFill>
                      </a:rPr>
                      <a:t>2</a:t>
                    </a:r>
                    <a:r>
                      <a:rPr lang="ru-RU" sz="1050">
                        <a:solidFill>
                          <a:schemeClr val="bg1"/>
                        </a:solidFill>
                      </a:rPr>
                      <a:t>2,0%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22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Информация о формах финансовой поддержки в отношении определенных социальных групп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5466448445171853E-3"/>
                  <c:y val="5.2478134110787174E-2"/>
                </c:manualLayout>
              </c:layout>
              <c:tx>
                <c:rich>
                  <a:bodyPr/>
                  <a:lstStyle/>
                  <a:p>
                    <a:r>
                      <a:rPr lang="en-US" sz="1050">
                        <a:solidFill>
                          <a:schemeClr val="bg1"/>
                        </a:solidFill>
                      </a:rPr>
                      <a:t>1</a:t>
                    </a:r>
                    <a:r>
                      <a:rPr lang="ru-RU" sz="1050">
                        <a:solidFill>
                          <a:schemeClr val="bg1"/>
                        </a:solidFill>
                      </a:rPr>
                      <a:t>6,0%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Информация о порядке формирования и исполнения бюджета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3644298963447896E-3"/>
                  <c:y val="5.0534499514091349E-2"/>
                </c:manualLayout>
              </c:layout>
              <c:tx>
                <c:rich>
                  <a:bodyPr/>
                  <a:lstStyle/>
                  <a:p>
                    <a:r>
                      <a:rPr lang="en-US" sz="1050">
                        <a:solidFill>
                          <a:schemeClr val="bg1"/>
                        </a:solidFill>
                      </a:rPr>
                      <a:t>1</a:t>
                    </a:r>
                    <a:r>
                      <a:rPr lang="ru-RU" sz="1050">
                        <a:solidFill>
                          <a:schemeClr val="bg1"/>
                        </a:solidFill>
                      </a:rPr>
                      <a:t>4,0%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14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Я и так постоянно пользуюсь Вашим сайтом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546644844517265E-3"/>
                  <c:y val="5.0534499514091349E-2"/>
                </c:manualLayout>
              </c:layout>
              <c:tx>
                <c:rich>
                  <a:bodyPr/>
                  <a:lstStyle/>
                  <a:p>
                    <a:r>
                      <a:rPr lang="en-US" sz="1050">
                        <a:solidFill>
                          <a:schemeClr val="bg1"/>
                        </a:solidFill>
                      </a:rPr>
                      <a:t>1</a:t>
                    </a:r>
                    <a:r>
                      <a:rPr lang="ru-RU" sz="1050">
                        <a:solidFill>
                          <a:schemeClr val="bg1"/>
                        </a:solidFill>
                      </a:rPr>
                      <a:t>4</a:t>
                    </a:r>
                    <a:r>
                      <a:rPr lang="en-US" sz="1050">
                        <a:solidFill>
                          <a:schemeClr val="bg1"/>
                        </a:solidFill>
                      </a:rPr>
                      <a:t>,</a:t>
                    </a:r>
                    <a:r>
                      <a:rPr lang="ru-RU" sz="1050">
                        <a:solidFill>
                          <a:schemeClr val="bg1"/>
                        </a:solidFill>
                      </a:rPr>
                      <a:t>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General</c:formatCode>
                <c:ptCount val="1"/>
                <c:pt idx="0">
                  <c:v>14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Ссылки на литературные и иные виды источников в области бюджетного процесса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4.0816326530612318E-2"/>
                </c:manualLayout>
              </c:layout>
              <c:tx>
                <c:rich>
                  <a:bodyPr/>
                  <a:lstStyle/>
                  <a:p>
                    <a:r>
                      <a:rPr lang="ru-RU" sz="1050">
                        <a:solidFill>
                          <a:schemeClr val="bg1"/>
                        </a:solidFill>
                      </a:rPr>
                      <a:t>6,0%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Лист1!$G$2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Другое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5466448445171853E-3"/>
                  <c:y val="9.7181729834791772E-3"/>
                </c:manualLayout>
              </c:layout>
              <c:tx>
                <c:rich>
                  <a:bodyPr/>
                  <a:lstStyle/>
                  <a:p>
                    <a:r>
                      <a:rPr lang="ru-RU" sz="1050">
                        <a:solidFill>
                          <a:schemeClr val="bg1"/>
                        </a:solidFill>
                      </a:rPr>
                      <a:t>1</a:t>
                    </a:r>
                    <a:r>
                      <a:rPr lang="en-US" sz="1050">
                        <a:solidFill>
                          <a:schemeClr val="bg1"/>
                        </a:solidFill>
                      </a:rPr>
                      <a:t>,</a:t>
                    </a:r>
                    <a:r>
                      <a:rPr lang="ru-RU" sz="1050">
                        <a:solidFill>
                          <a:schemeClr val="bg1"/>
                        </a:solidFill>
                      </a:rPr>
                      <a:t>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Лист1!$H$2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78538368"/>
        <c:axId val="178539904"/>
        <c:axId val="0"/>
      </c:bar3DChart>
      <c:catAx>
        <c:axId val="178538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78539904"/>
        <c:crosses val="autoZero"/>
        <c:auto val="1"/>
        <c:lblAlgn val="ctr"/>
        <c:lblOffset val="100"/>
        <c:noMultiLvlLbl val="0"/>
      </c:catAx>
      <c:valAx>
        <c:axId val="17853990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78538368"/>
        <c:crosses val="autoZero"/>
        <c:crossBetween val="between"/>
      </c:valAx>
      <c:spPr>
        <a:ln>
          <a:noFill/>
        </a:ln>
        <a:effectLst>
          <a:glow rad="101600">
            <a:schemeClr val="accent1">
              <a:satMod val="175000"/>
              <a:alpha val="40000"/>
            </a:schemeClr>
          </a:glow>
        </a:effectLst>
        <a:scene3d>
          <a:camera prst="orthographicFront"/>
          <a:lightRig rig="threePt" dir="t"/>
        </a:scene3d>
      </c:spPr>
    </c:plotArea>
    <c:legend>
      <c:legendPos val="b"/>
      <c:layout>
        <c:manualLayout>
          <c:xMode val="edge"/>
          <c:yMode val="edge"/>
          <c:x val="6.0348527862588604E-2"/>
          <c:y val="0.48869942332477256"/>
          <c:w val="0.87023247094113232"/>
          <c:h val="0.49141509853641174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ru-RU" sz="1600"/>
              <a:t>Слышали ли вы о ППМИ?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998286672499271E-2"/>
          <c:y val="0.14459317585301837"/>
          <c:w val="0.62004009915427238"/>
          <c:h val="0.7798612673415823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Слышали ли вы о "ППМИ"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209550" h="260350"/>
              <a:bevelB w="133350" h="184150"/>
            </a:sp3d>
          </c:spPr>
          <c:explosion val="25"/>
          <c:dPt>
            <c:idx val="0"/>
            <c:bubble3D val="0"/>
            <c:explosion val="4"/>
          </c:dPt>
          <c:dPt>
            <c:idx val="1"/>
            <c:bubble3D val="0"/>
            <c:explosion val="8"/>
          </c:dPt>
          <c:dPt>
            <c:idx val="2"/>
            <c:bubble3D val="0"/>
            <c:explosion val="8"/>
          </c:dPt>
          <c:dPt>
            <c:idx val="3"/>
            <c:bubble3D val="0"/>
            <c:explosion val="17"/>
          </c:dPt>
          <c:dLbls>
            <c:dLbl>
              <c:idx val="0"/>
              <c:layout>
                <c:manualLayout>
                  <c:x val="-0.47165532879818595"/>
                  <c:y val="-0.18140589569161003"/>
                </c:manualLayout>
              </c:layout>
              <c:tx>
                <c:rich>
                  <a:bodyPr/>
                  <a:lstStyle/>
                  <a:p>
                    <a:r>
                      <a:rPr lang="ru-RU" sz="1050" b="1"/>
                      <a:t>11</a:t>
                    </a:r>
                    <a:r>
                      <a:rPr lang="en-US" sz="1050" b="1"/>
                      <a:t>,</a:t>
                    </a:r>
                    <a:r>
                      <a:rPr lang="ru-RU" sz="1050" b="1"/>
                      <a:t>0%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050" b="1"/>
                      <a:t>36,</a:t>
                    </a:r>
                    <a:r>
                      <a:rPr lang="ru-RU" sz="1050" b="1"/>
                      <a:t>0%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47392290249433106"/>
                  <c:y val="2.2675736961451247E-2"/>
                </c:manualLayout>
              </c:layout>
              <c:tx>
                <c:rich>
                  <a:bodyPr/>
                  <a:lstStyle/>
                  <a:p>
                    <a:r>
                      <a:rPr lang="ru-RU" sz="1050" b="1"/>
                      <a:t>46</a:t>
                    </a:r>
                    <a:r>
                      <a:rPr lang="en-US" sz="1050" b="1"/>
                      <a:t>,</a:t>
                    </a:r>
                    <a:r>
                      <a:rPr lang="ru-RU" sz="1050" b="1"/>
                      <a:t>0%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 sz="1050" b="1"/>
                      <a:t>7,0%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Нет, ничего не слышал(а)</c:v>
                </c:pt>
                <c:pt idx="1">
                  <c:v>Что-то слышал(а), но подробностями не владею</c:v>
                </c:pt>
                <c:pt idx="2">
                  <c:v>Да, слышал(а) и хорошо представляю, о чем речь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46</c:v>
                </c:pt>
                <c:pt idx="1">
                  <c:v>36</c:v>
                </c:pt>
                <c:pt idx="2">
                  <c:v>11</c:v>
                </c:pt>
                <c:pt idx="3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133692403032954"/>
          <c:y val="0.19506280464941878"/>
          <c:w val="0.2727418708078157"/>
          <c:h val="0.72088613923259592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ru-RU" sz="1600"/>
              <a:t>Перспективы</a:t>
            </a:r>
            <a:r>
              <a:rPr lang="ru-RU" sz="1600" baseline="0"/>
              <a:t> увеличения доходной части бюджета</a:t>
            </a:r>
            <a:endParaRPr lang="ru-RU" sz="16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081683799941674"/>
          <c:y val="0.27653762029746282"/>
          <c:w val="0.42459499854184896"/>
          <c:h val="0.72346237970253713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Источники увеличение доходной части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14300" h="69850"/>
              <a:bevelB w="6350" h="311150"/>
            </a:sp3d>
          </c:spPr>
          <c:explosion val="6"/>
          <c:dPt>
            <c:idx val="0"/>
            <c:bubble3D val="0"/>
            <c:explosion val="9"/>
          </c:dPt>
          <c:dPt>
            <c:idx val="2"/>
            <c:bubble3D val="0"/>
            <c:explosion val="9"/>
          </c:dPt>
          <c:dPt>
            <c:idx val="3"/>
            <c:bubble3D val="0"/>
            <c:explosion val="11"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57</a:t>
                    </a:r>
                    <a:r>
                      <a:rPr lang="ru-RU"/>
                      <a:t>,0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  <a:r>
                      <a:rPr lang="ru-RU"/>
                      <a:t>7,0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4,0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1.4678899082568808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ru-RU"/>
                      <a:t>,0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Создание благоприятных условий для бизнеса</c:v>
                </c:pt>
                <c:pt idx="1">
                  <c:v>Легализация бизнеса</c:v>
                </c:pt>
                <c:pt idx="2">
                  <c:v>Увеличение налоговой нагрузки</c:v>
                </c:pt>
                <c:pt idx="3">
                  <c:v>Прочие предложения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57</c:v>
                </c:pt>
                <c:pt idx="1">
                  <c:v>37</c:v>
                </c:pt>
                <c:pt idx="2">
                  <c:v>4</c:v>
                </c:pt>
                <c:pt idx="3">
                  <c:v>2</c:v>
                </c:pt>
              </c:numCache>
            </c:numRef>
          </c:val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4202557249151193"/>
          <c:y val="0.28171102029967776"/>
          <c:w val="0.32203120443277922"/>
          <c:h val="0.49886264216972881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591</Words>
  <Characters>3370</Characters>
  <Application>Microsoft Office Word</Application>
  <DocSecurity>0</DocSecurity>
  <Lines>28</Lines>
  <Paragraphs>7</Paragraphs>
  <ScaleCrop>false</ScaleCrop>
  <Company/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Владимирович Барышников</dc:creator>
  <cp:lastModifiedBy>Александр Владимирович Барышников</cp:lastModifiedBy>
  <cp:revision>1</cp:revision>
  <dcterms:created xsi:type="dcterms:W3CDTF">2019-07-25T02:46:00Z</dcterms:created>
  <dcterms:modified xsi:type="dcterms:W3CDTF">2019-07-25T02:46:00Z</dcterms:modified>
</cp:coreProperties>
</file>